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eastAsia" w:ascii="黑体" w:eastAsia="黑体"/>
          <w:b/>
          <w:sz w:val="36"/>
          <w:szCs w:val="36"/>
        </w:rPr>
      </w:pPr>
      <w:r>
        <w:rPr>
          <w:rFonts w:ascii="Times New Roman" w:hAnsi="Times New Roman" w:eastAsia="宋体" w:cs="Times New Roman"/>
          <w:kern w:val="2"/>
          <w:sz w:val="21"/>
          <w:szCs w:val="20"/>
          <w:lang w:val="en-US" w:eastAsia="zh-CN" w:bidi="ar-SA"/>
        </w:rPr>
        <w:pict>
          <v:shape id="图片 1" o:spid="_x0000_s1026" type="#_x0000_t75" style="position:absolute;left:0;margin-left:1.6pt;margin-top:2.35pt;height:99.2pt;width:100.6pt;mso-wrap-distance-left:9pt;mso-wrap-distance-right:9pt;rotation:0f;z-index:-251658240;" o:ole="f" fillcolor="#FFFFFF" filled="f" o:preferrelative="t" stroked="f" coordorigin="0,0" coordsize="21600,21600" wrapcoords="21592 -2 0 0 0 21600 21592 21602 8 21602 21600 21600 21600 0 8 -2 21592 -2">
            <v:fill on="f" color2="#FFFFFF" focus="0%"/>
            <v:imagedata gain="65536f" blacklevel="0f" gamma="0" o:title="" r:id="rId5"/>
            <o:lock v:ext="edit" position="f" selection="f" grouping="f" rotation="f" cropping="f" text="f" aspectratio="t"/>
            <w10:wrap type="tight"/>
          </v:shape>
        </w:pict>
      </w:r>
      <w:r>
        <w:rPr>
          <w:rFonts w:hint="eastAsia" w:ascii="黑体" w:eastAsia="黑体"/>
          <w:b/>
          <w:sz w:val="36"/>
          <w:szCs w:val="36"/>
        </w:rPr>
        <w:t>201</w:t>
      </w:r>
      <w:r>
        <w:rPr>
          <w:rFonts w:hint="eastAsia" w:ascii="黑体" w:eastAsia="黑体"/>
          <w:b/>
          <w:sz w:val="36"/>
          <w:szCs w:val="36"/>
          <w:lang w:val="en-US" w:eastAsia="zh-CN"/>
        </w:rPr>
        <w:t>4</w:t>
      </w:r>
      <w:r>
        <w:rPr>
          <w:rFonts w:hint="eastAsia" w:ascii="黑体" w:eastAsia="黑体"/>
          <w:b/>
          <w:sz w:val="36"/>
          <w:szCs w:val="36"/>
        </w:rPr>
        <w:t>年度中国证券业金牛分析师</w:t>
      </w:r>
    </w:p>
    <w:p>
      <w:pPr>
        <w:jc w:val="both"/>
        <w:rPr>
          <w:rFonts w:hint="eastAsia" w:ascii="黑体" w:eastAsia="黑体"/>
          <w:b/>
          <w:sz w:val="36"/>
          <w:szCs w:val="36"/>
        </w:rPr>
      </w:pPr>
      <w:r>
        <w:rPr>
          <w:rFonts w:hint="eastAsia" w:ascii="黑体" w:eastAsia="黑体"/>
          <w:b/>
          <w:sz w:val="36"/>
          <w:szCs w:val="36"/>
          <w:lang w:val="en-US" w:eastAsia="zh-CN"/>
        </w:rPr>
        <w:t xml:space="preserve">           </w:t>
      </w:r>
      <w:r>
        <w:rPr>
          <w:rFonts w:hint="eastAsia" w:ascii="黑体" w:eastAsia="黑体"/>
          <w:b/>
          <w:sz w:val="36"/>
          <w:szCs w:val="36"/>
        </w:rPr>
        <w:t>报名表</w:t>
      </w:r>
    </w:p>
    <w:p>
      <w:pPr>
        <w:spacing w:before="240"/>
        <w:rPr>
          <w:rFonts w:ascii="仿宋_GB2312" w:eastAsia="仿宋_GB2312"/>
          <w:sz w:val="22"/>
        </w:rPr>
      </w:pPr>
    </w:p>
    <w:p>
      <w:pPr>
        <w:spacing w:before="240"/>
        <w:rPr>
          <w:rFonts w:ascii="仿宋_GB2312" w:eastAsia="仿宋_GB2312"/>
          <w:sz w:val="22"/>
        </w:rPr>
      </w:pPr>
      <w:r>
        <w:rPr>
          <w:rFonts w:hint="eastAsia" w:ascii="仿宋_GB2312" w:eastAsia="仿宋_GB2312"/>
          <w:sz w:val="22"/>
        </w:rPr>
        <w:t xml:space="preserve">                        主办机构 </w:t>
      </w:r>
      <w:r>
        <w:rPr>
          <w:rFonts w:hint="eastAsia" w:ascii="仿宋_GB2312" w:eastAsia="仿宋_GB2312"/>
          <w:sz w:val="22"/>
          <w:lang w:val="en-US" w:eastAsia="zh-CN"/>
        </w:rPr>
        <w:t xml:space="preserve"> </w:t>
      </w:r>
      <w:r>
        <w:rPr>
          <w:rFonts w:hint="eastAsia" w:ascii="仿宋_GB2312" w:eastAsia="仿宋_GB2312"/>
          <w:sz w:val="22"/>
        </w:rPr>
        <w:t>中国证券报社</w:t>
      </w:r>
    </w:p>
    <w:p>
      <w:pPr>
        <w:spacing w:before="240"/>
        <w:jc w:val="center"/>
        <w:rPr>
          <w:rFonts w:ascii="仿宋_GB2312" w:eastAsia="仿宋_GB2312"/>
          <w:sz w:val="22"/>
        </w:rPr>
      </w:pPr>
      <w:r>
        <w:rPr>
          <w:rFonts w:hint="eastAsia" w:ascii="仿宋_GB2312" w:eastAsia="仿宋_GB2312"/>
          <w:sz w:val="22"/>
        </w:rPr>
        <w:t>全程网络支持  中证网 (www.cs.com.cn)</w:t>
      </w:r>
    </w:p>
    <w:p>
      <w:pPr>
        <w:spacing w:before="240" w:line="360" w:lineRule="auto"/>
        <w:ind w:firstLine="381" w:firstLineChars="200"/>
        <w:rPr>
          <w:rFonts w:hint="eastAsia"/>
          <w:b/>
          <w:color w:val="2A2A2A"/>
          <w:sz w:val="19"/>
          <w:szCs w:val="19"/>
          <w:shd w:val="clear" w:color="auto" w:fill="FFFFFF"/>
        </w:rPr>
      </w:pPr>
      <w:bookmarkStart w:id="0" w:name="_GoBack"/>
      <w:r>
        <w:rPr>
          <w:rFonts w:hint="eastAsia"/>
          <w:b/>
          <w:color w:val="2A2A2A"/>
          <w:sz w:val="19"/>
          <w:szCs w:val="19"/>
          <w:highlight w:val="none"/>
          <w:shd w:val="clear" w:color="auto" w:fill="FFFFFF"/>
        </w:rPr>
        <w:t>201</w:t>
      </w:r>
      <w:r>
        <w:rPr>
          <w:rFonts w:hint="eastAsia"/>
          <w:b/>
          <w:color w:val="2A2A2A"/>
          <w:sz w:val="19"/>
          <w:szCs w:val="19"/>
          <w:highlight w:val="none"/>
          <w:shd w:val="clear" w:color="auto" w:fill="FFFFFF"/>
          <w:lang w:val="en-US" w:eastAsia="zh-CN"/>
        </w:rPr>
        <w:t>4</w:t>
      </w:r>
      <w:r>
        <w:rPr>
          <w:rFonts w:hint="eastAsia"/>
          <w:b/>
          <w:color w:val="2A2A2A"/>
          <w:sz w:val="19"/>
          <w:szCs w:val="19"/>
          <w:highlight w:val="none"/>
          <w:shd w:val="clear" w:color="auto" w:fill="FFFFFF"/>
        </w:rPr>
        <w:t>年中国证券业金牛分析师评选活动正式启动。</w:t>
      </w:r>
      <w:r>
        <w:rPr>
          <w:rFonts w:hint="eastAsia"/>
          <w:b/>
          <w:color w:val="2A2A2A"/>
          <w:sz w:val="19"/>
          <w:szCs w:val="19"/>
          <w:highlight w:val="none"/>
          <w:shd w:val="clear" w:color="auto" w:fill="FFFFFF"/>
          <w:lang w:val="en-US" w:eastAsia="zh-CN"/>
        </w:rPr>
        <w:t>金牛奖一贯秉承“以金牛选金牛”的评选宗旨，</w:t>
      </w:r>
      <w:r>
        <w:rPr>
          <w:rFonts w:hint="eastAsia"/>
          <w:b/>
          <w:color w:val="2A2A2A"/>
          <w:sz w:val="19"/>
          <w:szCs w:val="19"/>
          <w:shd w:val="clear" w:color="auto" w:fill="FFFFFF"/>
        </w:rPr>
        <w:t>充分挖掘优秀分析师和优秀研究团队，以专业的眼光为广大投资者提供更具价值的投资参考，希望证券研究团队和证券分析师积极参与。</w:t>
      </w:r>
      <w:bookmarkEnd w:id="0"/>
    </w:p>
    <w:p>
      <w:pPr>
        <w:spacing w:before="240" w:line="360" w:lineRule="auto"/>
        <w:ind w:firstLine="381" w:firstLineChars="200"/>
        <w:rPr>
          <w:rFonts w:hint="eastAsia" w:ascii="仿宋_GB2312" w:eastAsia="仿宋_GB2312"/>
          <w:b/>
          <w:bCs/>
          <w:color w:val="FF0000"/>
          <w:sz w:val="28"/>
          <w:szCs w:val="28"/>
          <w:u w:val="none" w:color="auto"/>
          <w:lang w:val="en-US" w:eastAsia="zh-CN"/>
        </w:rPr>
      </w:pPr>
      <w:r>
        <w:rPr>
          <w:rFonts w:hint="eastAsia" w:ascii="仿宋_GB2312" w:eastAsia="仿宋_GB2312"/>
          <w:b/>
          <w:bCs/>
          <w:color w:val="FF0000"/>
          <w:sz w:val="20"/>
          <w:szCs w:val="20"/>
          <w:lang w:eastAsia="zh-CN"/>
        </w:rPr>
        <w:t>报名邮箱</w:t>
      </w:r>
      <w:r>
        <w:rPr>
          <w:rFonts w:hint="eastAsia" w:ascii="仿宋_GB2312" w:eastAsia="仿宋_GB2312"/>
          <w:b/>
          <w:bCs/>
          <w:color w:val="FF0000"/>
          <w:sz w:val="20"/>
          <w:szCs w:val="20"/>
          <w:lang w:val="en-US" w:eastAsia="zh-CN"/>
        </w:rPr>
        <w:t>:</w:t>
      </w:r>
      <w:r>
        <w:rPr>
          <w:rFonts w:hint="eastAsia" w:ascii="仿宋_GB2312" w:eastAsia="仿宋_GB2312"/>
          <w:b/>
          <w:bCs/>
          <w:color w:val="FF0000"/>
          <w:sz w:val="28"/>
          <w:szCs w:val="28"/>
          <w:u w:val="none" w:color="auto"/>
          <w:lang w:val="en-US" w:eastAsia="zh-CN"/>
        </w:rPr>
        <w:t xml:space="preserve">zzbjn1@126.com           </w:t>
      </w:r>
      <w:r>
        <w:rPr>
          <w:rFonts w:hint="eastAsia" w:ascii="仿宋_GB2312" w:eastAsia="仿宋_GB2312"/>
          <w:b/>
          <w:bCs/>
          <w:color w:val="FF0000"/>
          <w:sz w:val="20"/>
          <w:szCs w:val="20"/>
          <w:u w:val="none" w:color="auto"/>
          <w:lang w:val="en-US" w:eastAsia="zh-CN"/>
        </w:rPr>
        <w:t>截止日期：</w:t>
      </w:r>
      <w:r>
        <w:rPr>
          <w:rFonts w:hint="eastAsia" w:ascii="仿宋_GB2312" w:eastAsia="仿宋_GB2312"/>
          <w:b/>
          <w:bCs/>
          <w:color w:val="FF0000"/>
          <w:sz w:val="28"/>
          <w:szCs w:val="28"/>
          <w:u w:val="none" w:color="auto"/>
          <w:lang w:val="en-US" w:eastAsia="zh-CN"/>
        </w:rPr>
        <w:t>2014年9月17日</w:t>
      </w:r>
    </w:p>
    <w:p>
      <w:pPr>
        <w:spacing w:before="240"/>
        <w:jc w:val="center"/>
        <w:rPr>
          <w:rFonts w:ascii="仿宋_GB2312" w:eastAsia="仿宋_GB2312"/>
          <w:b/>
          <w:sz w:val="30"/>
          <w:szCs w:val="30"/>
        </w:rPr>
      </w:pPr>
      <w:r>
        <w:rPr>
          <w:rFonts w:hint="eastAsia" w:ascii="仿宋_GB2312" w:eastAsia="仿宋_GB2312"/>
          <w:b/>
          <w:sz w:val="30"/>
          <w:szCs w:val="30"/>
        </w:rPr>
        <w:t>参选报名表格</w:t>
      </w:r>
    </w:p>
    <w:p>
      <w:pPr>
        <w:spacing w:before="240"/>
        <w:ind w:firstLine="1890" w:firstLineChars="900"/>
        <w:rPr>
          <w:rFonts w:hint="eastAsia" w:ascii="仿宋_GB2312" w:eastAsia="仿宋_GB2312"/>
        </w:rPr>
      </w:pPr>
      <w:r>
        <w:rPr>
          <w:rFonts w:hint="eastAsia" w:ascii="仿宋_GB2312" w:eastAsia="仿宋_GB2312"/>
        </w:rPr>
        <w:t>201</w:t>
      </w:r>
      <w:r>
        <w:rPr>
          <w:rFonts w:hint="eastAsia" w:ascii="仿宋_GB2312" w:eastAsia="仿宋_GB2312"/>
          <w:lang w:val="en-US" w:eastAsia="zh-CN"/>
        </w:rPr>
        <w:t>4</w:t>
      </w:r>
      <w:r>
        <w:rPr>
          <w:rFonts w:hint="eastAsia" w:ascii="仿宋_GB2312" w:eastAsia="仿宋_GB2312"/>
        </w:rPr>
        <w:t>年金牛证券分析师评选的参选报名表格（排名不分先后）</w:t>
      </w:r>
    </w:p>
    <w:tbl>
      <w:tblPr>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jc w:val="center"/>
              <w:rPr>
                <w:rFonts w:ascii="仿宋_GB2312" w:eastAsia="仿宋_GB2312"/>
              </w:rPr>
            </w:pPr>
            <w:r>
              <w:rPr>
                <w:rFonts w:hint="eastAsia" w:ascii="黑体" w:hAnsi="宋体" w:eastAsia="黑体" w:cs="宋体"/>
                <w:kern w:val="0"/>
                <w:sz w:val="24"/>
              </w:rPr>
              <w:t>研究领域</w:t>
            </w:r>
          </w:p>
        </w:tc>
        <w:tc>
          <w:tcPr>
            <w:tcW w:w="4261" w:type="dxa"/>
            <w:vAlign w:val="top"/>
          </w:tcPr>
          <w:p>
            <w:pPr>
              <w:spacing w:before="240"/>
              <w:jc w:val="center"/>
              <w:rPr>
                <w:rFonts w:ascii="黑体" w:hAnsi="黑体" w:eastAsia="黑体"/>
                <w:sz w:val="24"/>
                <w:szCs w:val="24"/>
              </w:rPr>
            </w:pPr>
            <w:r>
              <w:rPr>
                <w:rFonts w:hint="eastAsia" w:ascii="黑体" w:hAnsi="黑体" w:eastAsia="黑体"/>
                <w:sz w:val="24"/>
                <w:szCs w:val="24"/>
              </w:rPr>
              <w:t>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261" w:type="dxa"/>
            <w:vAlign w:val="top"/>
          </w:tcPr>
          <w:p>
            <w:pPr>
              <w:spacing w:before="240"/>
              <w:rPr>
                <w:rFonts w:ascii="仿宋_GB2312" w:eastAsia="仿宋_GB2312"/>
              </w:rPr>
            </w:pPr>
            <w:r>
              <w:rPr>
                <w:rFonts w:hint="eastAsia" w:ascii="仿宋_GB2312" w:eastAsia="仿宋_GB2312"/>
              </w:rPr>
              <w:t>宏观经济领域研究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投资策略方向研究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固定收益方向研究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金融工程领域研究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银行业方向研究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非银行金融业研究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食品饮料行业研究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农林牧渔行业研究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黑色金属行业研究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采掘行业研究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交通运输行业研究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建筑建材行业研究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轻工制造行业研究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纺织服装行业研究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商业贸易行业研究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交运设备行业研究（含新能源汽车）</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餐饮旅游行业研究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房地产行业研究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医药生物行业研究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ascii="仿宋_GB2312" w:eastAsia="仿宋_GB2312"/>
              </w:rPr>
            </w:pPr>
            <w:r>
              <w:rPr>
                <w:rFonts w:hint="eastAsia" w:ascii="仿宋_GB2312" w:eastAsia="仿宋_GB2312"/>
              </w:rPr>
              <w:t>家用电器行业研究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高端装备行业研究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能源行业研究（含新能源）</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有色金属行业研究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化工行业研究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电子行业研究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新材料方向研究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传媒行业研究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通信设备行业研究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节能领域研究</w:t>
            </w:r>
          </w:p>
        </w:tc>
        <w:tc>
          <w:tcPr>
            <w:tcW w:w="4261" w:type="dxa"/>
            <w:vAlign w:val="top"/>
          </w:tcPr>
          <w:p>
            <w:pPr>
              <w:spacing w:before="240"/>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4261" w:type="dxa"/>
            <w:vAlign w:val="top"/>
          </w:tcPr>
          <w:p>
            <w:pPr>
              <w:spacing w:before="240"/>
              <w:rPr>
                <w:rFonts w:hint="eastAsia" w:ascii="仿宋_GB2312" w:eastAsia="仿宋_GB2312"/>
              </w:rPr>
            </w:pPr>
            <w:r>
              <w:rPr>
                <w:rFonts w:hint="eastAsia" w:ascii="仿宋_GB2312" w:eastAsia="仿宋_GB2312"/>
              </w:rPr>
              <w:t>环保行业研究</w:t>
            </w:r>
          </w:p>
        </w:tc>
        <w:tc>
          <w:tcPr>
            <w:tcW w:w="4261" w:type="dxa"/>
            <w:vAlign w:val="top"/>
          </w:tcPr>
          <w:p>
            <w:pPr>
              <w:spacing w:before="240"/>
              <w:rPr>
                <w:rFonts w:ascii="仿宋_GB2312" w:eastAsia="仿宋_GB2312"/>
              </w:rPr>
            </w:pPr>
          </w:p>
        </w:tc>
      </w:tr>
    </w:tbl>
    <w:p>
      <w:pPr>
        <w:jc w:val="left"/>
        <w:rPr>
          <w:rFonts w:hint="eastAsia" w:ascii="仿宋_GB2312" w:eastAsia="仿宋_GB2312"/>
        </w:rPr>
      </w:pPr>
    </w:p>
    <w:p>
      <w:pPr>
        <w:jc w:val="left"/>
        <w:rPr>
          <w:rFonts w:hint="eastAsia" w:ascii="仿宋_GB2312" w:eastAsia="仿宋_GB2312"/>
        </w:rPr>
      </w:pPr>
      <w:r>
        <w:rPr>
          <w:rFonts w:hint="eastAsia" w:ascii="仿宋_GB2312" w:eastAsia="仿宋_GB2312"/>
        </w:rPr>
        <w:t>参选201</w:t>
      </w:r>
      <w:r>
        <w:rPr>
          <w:rFonts w:hint="eastAsia" w:ascii="仿宋_GB2312" w:eastAsia="仿宋_GB2312"/>
          <w:lang w:val="en-US" w:eastAsia="zh-CN"/>
        </w:rPr>
        <w:t>4</w:t>
      </w:r>
      <w:r>
        <w:rPr>
          <w:rFonts w:hint="eastAsia" w:ascii="仿宋_GB2312" w:eastAsia="仿宋_GB2312"/>
        </w:rPr>
        <w:t>年金牛证券分析师的研究机构需用</w:t>
      </w:r>
      <w:r>
        <w:rPr>
          <w:rFonts w:ascii="仿宋_GB2312" w:eastAsia="仿宋_GB2312"/>
        </w:rPr>
        <w:t>√</w:t>
      </w:r>
      <w:r>
        <w:rPr>
          <w:rFonts w:hint="eastAsia" w:ascii="仿宋_GB2312" w:eastAsia="仿宋_GB2312"/>
        </w:rPr>
        <w:t>注明是否同时报名以下项目：</w:t>
      </w:r>
    </w:p>
    <w:p>
      <w:pPr>
        <w:jc w:val="left"/>
        <w:rPr>
          <w:rFonts w:hint="eastAsia" w:ascii="仿宋_GB2312" w:eastAsia="仿宋_GB2312"/>
        </w:rPr>
      </w:pPr>
      <w:r>
        <w:rPr>
          <w:rFonts w:hint="eastAsia" w:ascii="仿宋_GB2312" w:eastAsia="仿宋_GB2312"/>
        </w:rPr>
        <w:t>五大金牛研究团队：    是（）   否（）</w:t>
      </w:r>
    </w:p>
    <w:p>
      <w:pPr>
        <w:jc w:val="left"/>
        <w:rPr>
          <w:rFonts w:hint="eastAsia" w:ascii="仿宋_GB2312" w:eastAsia="仿宋_GB2312"/>
        </w:rPr>
      </w:pPr>
      <w:r>
        <w:rPr>
          <w:rFonts w:hint="eastAsia" w:ascii="仿宋_GB2312" w:eastAsia="仿宋_GB2312"/>
        </w:rPr>
        <w:t>最快进步研究团队：    是（）   否（）</w:t>
      </w:r>
    </w:p>
    <w:p>
      <w:pPr>
        <w:jc w:val="left"/>
        <w:rPr>
          <w:rFonts w:hint="eastAsia" w:ascii="仿宋_GB2312" w:eastAsia="仿宋_GB2312"/>
        </w:rPr>
      </w:pPr>
      <w:r>
        <w:rPr>
          <w:rFonts w:hint="eastAsia" w:ascii="仿宋_GB2312" w:eastAsia="仿宋_GB2312"/>
        </w:rPr>
        <w:t>最具潜力研究团队：    是（）   否（）</w:t>
      </w:r>
    </w:p>
    <w:p>
      <w:pPr>
        <w:widowControl/>
        <w:spacing w:line="360" w:lineRule="auto"/>
        <w:jc w:val="left"/>
        <w:rPr>
          <w:rFonts w:hint="eastAsia" w:ascii="仿宋" w:hAnsi="仿宋" w:eastAsia="仿宋" w:cs="宋体"/>
          <w:color w:val="FF0000"/>
          <w:kern w:val="0"/>
          <w:sz w:val="24"/>
          <w:szCs w:val="24"/>
        </w:rPr>
      </w:pPr>
    </w:p>
    <w:p>
      <w:pPr>
        <w:widowControl/>
        <w:spacing w:line="360" w:lineRule="auto"/>
        <w:jc w:val="left"/>
        <w:rPr>
          <w:rFonts w:ascii="仿宋" w:hAnsi="仿宋" w:eastAsia="仿宋" w:cs="宋体"/>
          <w:kern w:val="0"/>
          <w:sz w:val="24"/>
          <w:szCs w:val="24"/>
        </w:rPr>
      </w:pPr>
      <w:r>
        <w:rPr>
          <w:rFonts w:ascii="仿宋" w:hAnsi="仿宋" w:eastAsia="仿宋" w:cs="宋体"/>
          <w:color w:val="FF0000"/>
          <w:kern w:val="0"/>
          <w:sz w:val="24"/>
          <w:szCs w:val="24"/>
        </w:rPr>
        <w:t>特别提示</w:t>
      </w:r>
      <w:r>
        <w:rPr>
          <w:rFonts w:hint="eastAsia" w:ascii="仿宋" w:hAnsi="仿宋" w:eastAsia="仿宋" w:cs="宋体"/>
          <w:color w:val="FF0000"/>
          <w:kern w:val="0"/>
          <w:sz w:val="24"/>
          <w:szCs w:val="24"/>
        </w:rPr>
        <w:t>：</w:t>
      </w:r>
      <w:r>
        <w:rPr>
          <w:rFonts w:ascii="仿宋" w:hAnsi="仿宋" w:eastAsia="仿宋" w:cs="宋体"/>
          <w:color w:val="FF0000"/>
          <w:kern w:val="0"/>
          <w:sz w:val="24"/>
          <w:szCs w:val="24"/>
        </w:rPr>
        <w:br/>
      </w:r>
      <w:r>
        <w:rPr>
          <w:rFonts w:ascii="仿宋" w:hAnsi="仿宋" w:eastAsia="仿宋" w:cs="宋体"/>
          <w:color w:val="FF0000"/>
          <w:kern w:val="0"/>
          <w:sz w:val="24"/>
          <w:szCs w:val="24"/>
        </w:rPr>
        <w:t>特别提示一：五大金牛研究团队与最快进步研究团队如有重合，则该研究团队只获得金牛研究团队，最快进步研究团队由该投票领域得分次高的证券研究机构获得。五大金牛研究团队与最具潜力研究团队如有重合，则该研究团队只获得金牛研究团队，最具潜力研究团队由该投票领域得分次高的证券研究机构获得。最快进步研究团队与最具潜力研究团队如有重合，则该研究团队只获得最快进步研究团队，最具潜力研究团队由该投票领域得分次高的证券研究机构获得。</w:t>
      </w:r>
      <w:r>
        <w:rPr>
          <w:rFonts w:ascii="仿宋" w:hAnsi="仿宋" w:eastAsia="仿宋" w:cs="宋体"/>
          <w:color w:val="FF0000"/>
          <w:kern w:val="0"/>
          <w:sz w:val="24"/>
          <w:szCs w:val="24"/>
        </w:rPr>
        <w:br/>
      </w:r>
      <w:r>
        <w:rPr>
          <w:rFonts w:ascii="仿宋" w:hAnsi="仿宋" w:eastAsia="仿宋" w:cs="宋体"/>
          <w:color w:val="FF0000"/>
          <w:kern w:val="0"/>
          <w:sz w:val="24"/>
          <w:szCs w:val="24"/>
        </w:rPr>
        <w:t>特别提示二：目前机构设立研究小组的研究领域可能会有跨行业、跨领域现象，参选者可以研究小组为单位参选，也可根据自身情况将研究小组成员分拆至不同研究领域以个人名义报名参选，研究小组或者分析师个人在报名时可以在上述30个研究领域中选择不超过2个研究方向进行报名，即任一分析师可以出现在1个或2个研究领域中。</w:t>
      </w:r>
      <w:r>
        <w:rPr>
          <w:rFonts w:ascii="仿宋" w:hAnsi="仿宋" w:eastAsia="仿宋" w:cs="宋体"/>
          <w:color w:val="FF0000"/>
          <w:kern w:val="0"/>
          <w:sz w:val="24"/>
          <w:szCs w:val="24"/>
        </w:rPr>
        <w:br/>
      </w:r>
      <w:r>
        <w:rPr>
          <w:rFonts w:ascii="仿宋" w:hAnsi="仿宋" w:eastAsia="仿宋" w:cs="宋体"/>
          <w:color w:val="FF0000"/>
          <w:kern w:val="0"/>
          <w:sz w:val="24"/>
          <w:szCs w:val="24"/>
        </w:rPr>
        <w:t>特别提示三：如出现同一研究小组或者分析师个人在两个研究方向同时获奖的情况，主办方将采取“两者相比取其高名次”的办法选择排位靠前的研究方向作为该研究小组或者分析师个人的最终获奖名单。例如某研究小组在A研究方向最终排名获得第三名，在B研究方向最终排名获得第二名，则其最终的获奖名单为B研究方向第二名，A研究方向第三名则由A研究方向第四名顺序替补。</w:t>
      </w:r>
      <w:r>
        <w:rPr>
          <w:rFonts w:ascii="仿宋" w:hAnsi="仿宋" w:eastAsia="仿宋" w:cs="宋体"/>
          <w:color w:val="FF0000"/>
          <w:kern w:val="0"/>
          <w:sz w:val="24"/>
          <w:szCs w:val="24"/>
        </w:rPr>
        <w:br/>
      </w:r>
      <w:r>
        <w:rPr>
          <w:rFonts w:ascii="仿宋" w:hAnsi="仿宋" w:eastAsia="仿宋" w:cs="宋体"/>
          <w:color w:val="FF0000"/>
          <w:kern w:val="0"/>
          <w:sz w:val="24"/>
          <w:szCs w:val="24"/>
        </w:rPr>
        <w:t>特别提示四：如出现同一研究小组或者分析师个人在两个研究方向同时获奖且获得名次也相同的情况，主办方将采取“两者相比取其高得分”的办法选择得分较高的研究方向作为该研究小组或者分析师个人的最终获奖名单。例如某研究小组在A研究方向最终得分获得第三名，在B研究方向最终得分也获得第三名，但在A研究方向的最终得分为15.33分，而在B研究方向的最终得分为13.55分，则其最终的获奖名单为A研究方向第三名，B研究方向第三名则由B研究方向第四名顺序替补</w:t>
      </w:r>
      <w:r>
        <w:rPr>
          <w:rFonts w:ascii="仿宋" w:hAnsi="仿宋" w:eastAsia="仿宋" w:cs="宋体"/>
          <w:kern w:val="0"/>
          <w:sz w:val="24"/>
          <w:szCs w:val="24"/>
        </w:rPr>
        <w:t>。</w:t>
      </w:r>
    </w:p>
    <w:p>
      <w:pPr>
        <w:jc w:val="left"/>
        <w:rPr>
          <w:rFonts w:hint="eastAsia" w:ascii="仿宋_GB2312" w:eastAsia="仿宋_GB2312"/>
          <w:b/>
          <w:bCs/>
        </w:rPr>
      </w:pPr>
      <w:r>
        <w:rPr>
          <w:rFonts w:hint="eastAsia" w:ascii="仿宋_GB2312" w:eastAsia="仿宋_GB2312"/>
          <w:b/>
          <w:bCs/>
          <w:color w:val="FF0000"/>
        </w:rPr>
        <w:t>重要提示：</w:t>
      </w:r>
    </w:p>
    <w:p>
      <w:pPr>
        <w:jc w:val="left"/>
        <w:rPr>
          <w:rFonts w:hint="eastAsia" w:ascii="仿宋_GB2312" w:eastAsia="仿宋_GB2312"/>
          <w:b/>
          <w:bCs/>
          <w:color w:val="FF0000"/>
        </w:rPr>
      </w:pPr>
      <w:r>
        <w:rPr>
          <w:rFonts w:ascii="仿宋_GB2312" w:eastAsia="仿宋_GB2312"/>
          <w:b/>
          <w:bCs/>
          <w:color w:val="FF0000"/>
        </w:rPr>
        <w:t xml:space="preserve">请在每个候选人名字后注明“证券投资咨询业务(分析师)”资格证书编号 </w:t>
      </w:r>
    </w:p>
    <w:p>
      <w:pPr>
        <w:jc w:val="left"/>
        <w:rPr>
          <w:rFonts w:ascii="仿宋" w:hAnsi="仿宋" w:eastAsia="仿宋"/>
        </w:rPr>
      </w:pPr>
      <w:r>
        <w:rPr>
          <w:rFonts w:hint="eastAsia" w:ascii="仿宋_GB2312" w:eastAsia="仿宋_GB2312"/>
          <w:b/>
          <w:bCs/>
          <w:color w:val="FF0000"/>
        </w:rPr>
        <w:t>参选201</w:t>
      </w:r>
      <w:r>
        <w:rPr>
          <w:rFonts w:hint="eastAsia" w:ascii="仿宋_GB2312" w:eastAsia="仿宋_GB2312"/>
          <w:b/>
          <w:bCs/>
          <w:color w:val="FF0000"/>
          <w:lang w:val="en-US" w:eastAsia="zh-CN"/>
        </w:rPr>
        <w:t>4</w:t>
      </w:r>
      <w:r>
        <w:rPr>
          <w:rFonts w:hint="eastAsia" w:ascii="仿宋_GB2312" w:eastAsia="仿宋_GB2312"/>
          <w:b/>
          <w:bCs/>
          <w:color w:val="FF0000"/>
        </w:rPr>
        <w:t>年金牛证券分析师的机构请于9月</w:t>
      </w:r>
      <w:r>
        <w:rPr>
          <w:rFonts w:hint="eastAsia" w:ascii="仿宋_GB2312" w:eastAsia="仿宋_GB2312"/>
          <w:b/>
          <w:bCs/>
          <w:color w:val="FF0000"/>
          <w:lang w:val="en-US" w:eastAsia="zh-CN"/>
        </w:rPr>
        <w:t>17</w:t>
      </w:r>
      <w:r>
        <w:rPr>
          <w:rFonts w:hint="eastAsia" w:ascii="仿宋_GB2312" w:eastAsia="仿宋_GB2312"/>
          <w:b/>
          <w:bCs/>
          <w:color w:val="FF0000"/>
        </w:rPr>
        <w:t>日前以邮件方式将报名表发</w:t>
      </w:r>
      <w:r>
        <w:rPr>
          <w:rFonts w:hint="eastAsia" w:ascii="仿宋_GB2312" w:eastAsia="仿宋_GB2312"/>
          <w:b/>
          <w:bCs/>
          <w:color w:val="FF0000"/>
          <w:lang w:val="en-US" w:eastAsia="zh-CN"/>
        </w:rPr>
        <w:t>回至：</w:t>
      </w:r>
      <w:r>
        <w:rPr>
          <w:rFonts w:hint="eastAsia" w:ascii="仿宋_GB2312" w:eastAsia="仿宋_GB2312"/>
          <w:b/>
          <w:bCs/>
          <w:color w:val="FF0000"/>
          <w:sz w:val="28"/>
          <w:szCs w:val="28"/>
          <w:u w:val="none" w:color="auto"/>
          <w:lang w:val="en-US" w:eastAsia="zh-CN"/>
        </w:rPr>
        <w:t>zzbjn1@126.com</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iPriority w:val="0"/>
  </w:style>
  <w:style w:type="paragraph" w:styleId="2">
    <w:name w:val="footer"/>
    <w:basedOn w:val="1"/>
    <w:link w:val="5"/>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5">
    <w:name w:val="页脚 Char"/>
    <w:basedOn w:val="4"/>
    <w:link w:val="2"/>
    <w:semiHidden/>
    <w:uiPriority w:val="0"/>
    <w:rPr>
      <w:sz w:val="18"/>
      <w:szCs w:val="18"/>
    </w:rPr>
  </w:style>
  <w:style w:type="character" w:customStyle="1" w:styleId="6">
    <w:name w:val="页眉 Char"/>
    <w:basedOn w:val="4"/>
    <w:link w:val="3"/>
    <w:semiHidden/>
    <w:uiPriority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226</Words>
  <Characters>1291</Characters>
  <Lines>10</Lines>
  <Paragraphs>3</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2013-09-09T02:53:00Z</dcterms:created>
  <dc:creator>wxmcool</dc:creator>
  <cp:lastModifiedBy>yuansean</cp:lastModifiedBy>
  <dcterms:modified xsi:type="dcterms:W3CDTF">2014-09-04T10:55:17Z</dcterms:modified>
  <dc:title>2013年度中国证券业金牛分析师报名表（XX证券）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