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p>
      <w:pPr>
        <w:jc w:val="center"/>
        <w:rPr>
          <w:rFonts w:ascii="方正小标宋简体" w:eastAsia="方正小标宋简体"/>
          <w:sz w:val="40"/>
          <w:szCs w:val="40"/>
        </w:rPr>
      </w:pPr>
      <w:r>
        <w:rPr>
          <w:rFonts w:hint="eastAsia" w:ascii="方正小标宋简体" w:eastAsia="方正小标宋简体"/>
          <w:sz w:val="40"/>
          <w:szCs w:val="40"/>
        </w:rPr>
        <w:t>深市期权投教丨初识股票期权</w:t>
      </w:r>
    </w:p>
    <w:p/>
    <w:p/>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深交所即将推出股票期权了！“期权”一词相信大家都有所耳闻，可它到底是怎样一种投资工具，又该如何使用呢？让我们通过“深市期权来了”系列文章走近这位“熟悉的陌生人”。</w:t>
      </w:r>
    </w:p>
    <w:p>
      <w:pPr>
        <w:spacing w:line="560" w:lineRule="exact"/>
        <w:ind w:firstLine="560" w:firstLineChars="200"/>
      </w:pPr>
      <w:r>
        <w:rPr>
          <w:rFonts w:hint="eastAsia" w:ascii="Times New Roman" w:hAnsi="Times New Roman" w:eastAsia="方正仿宋简体" w:cs="Times New Roman"/>
          <w:kern w:val="0"/>
          <w:sz w:val="28"/>
          <w:szCs w:val="30"/>
        </w:rPr>
        <w:t>现代场内期权交易始于</w:t>
      </w:r>
      <w:r>
        <w:rPr>
          <w:rFonts w:ascii="Times New Roman" w:hAnsi="Times New Roman" w:eastAsia="方正仿宋简体" w:cs="Times New Roman"/>
          <w:kern w:val="0"/>
          <w:sz w:val="28"/>
          <w:szCs w:val="30"/>
        </w:rPr>
        <w:t>1973</w:t>
      </w:r>
      <w:r>
        <w:rPr>
          <w:rFonts w:hint="eastAsia" w:ascii="Times New Roman" w:hAnsi="Times New Roman" w:eastAsia="方正仿宋简体" w:cs="Times New Roman"/>
          <w:kern w:val="0"/>
          <w:sz w:val="28"/>
          <w:szCs w:val="30"/>
        </w:rPr>
        <w:t>年美国芝加哥，“期权”的英文表述是“</w:t>
      </w:r>
      <w:r>
        <w:rPr>
          <w:rFonts w:ascii="Times New Roman" w:hAnsi="Times New Roman" w:eastAsia="方正仿宋简体" w:cs="Times New Roman"/>
          <w:kern w:val="0"/>
          <w:sz w:val="28"/>
          <w:szCs w:val="30"/>
        </w:rPr>
        <w:t>option</w:t>
      </w:r>
      <w:r>
        <w:rPr>
          <w:rFonts w:hint="eastAsia" w:ascii="Times New Roman" w:hAnsi="Times New Roman" w:eastAsia="方正仿宋简体" w:cs="Times New Roman"/>
          <w:kern w:val="0"/>
          <w:sz w:val="28"/>
          <w:szCs w:val="30"/>
        </w:rPr>
        <w:t>”，而“</w:t>
      </w:r>
      <w:r>
        <w:rPr>
          <w:rFonts w:ascii="Times New Roman" w:hAnsi="Times New Roman" w:eastAsia="方正仿宋简体" w:cs="Times New Roman"/>
          <w:kern w:val="0"/>
          <w:sz w:val="28"/>
          <w:szCs w:val="30"/>
        </w:rPr>
        <w:t>option</w:t>
      </w:r>
      <w:r>
        <w:rPr>
          <w:rFonts w:hint="eastAsia" w:ascii="Times New Roman" w:hAnsi="Times New Roman" w:eastAsia="方正仿宋简体" w:cs="Times New Roman"/>
          <w:kern w:val="0"/>
          <w:sz w:val="28"/>
          <w:szCs w:val="30"/>
        </w:rPr>
        <w:t>”一词又有“选择”的意思。因此，“期权”又可直接称为“选择权”，更准确地说是“未来的选择权”。事实上，相较于单独持有股票、</w:t>
      </w:r>
      <w:r>
        <w:rPr>
          <w:rFonts w:ascii="Times New Roman" w:hAnsi="Times New Roman" w:eastAsia="方正仿宋简体" w:cs="Times New Roman"/>
          <w:kern w:val="0"/>
          <w:sz w:val="28"/>
          <w:szCs w:val="30"/>
        </w:rPr>
        <w:t>ETF</w:t>
      </w:r>
      <w:r>
        <w:rPr>
          <w:rFonts w:hint="eastAsia" w:ascii="Times New Roman" w:hAnsi="Times New Roman" w:eastAsia="方正仿宋简体" w:cs="Times New Roman"/>
          <w:kern w:val="0"/>
          <w:sz w:val="28"/>
          <w:szCs w:val="30"/>
        </w:rPr>
        <w:t>等现货，期权的出现，的确给投资者带来更多选择。熟练掌握期权的应用，期权将成为您得力的风险管理助手！</w:t>
      </w:r>
    </w:p>
    <w:p>
      <w:pPr>
        <w:rPr>
          <w:rFonts w:ascii="黑体" w:hAnsi="黑体" w:eastAsia="黑体"/>
          <w:sz w:val="28"/>
          <w:szCs w:val="30"/>
        </w:rPr>
      </w:pPr>
      <w:r>
        <w:rPr>
          <w:rFonts w:ascii="黑体" w:hAnsi="黑体" w:eastAsia="黑体"/>
          <w:sz w:val="28"/>
          <w:szCs w:val="30"/>
        </w:rPr>
        <w:t>一</w:t>
      </w:r>
      <w:r>
        <w:rPr>
          <w:rFonts w:hint="eastAsia" w:ascii="黑体" w:hAnsi="黑体" w:eastAsia="黑体"/>
          <w:sz w:val="28"/>
          <w:szCs w:val="30"/>
        </w:rPr>
        <w:t>、什么是股票</w:t>
      </w:r>
      <w:r>
        <w:rPr>
          <w:rFonts w:ascii="黑体" w:hAnsi="黑体" w:eastAsia="黑体"/>
          <w:sz w:val="28"/>
          <w:szCs w:val="30"/>
        </w:rPr>
        <w:t>期权</w:t>
      </w:r>
      <w:r>
        <w:rPr>
          <w:rFonts w:hint="eastAsia" w:ascii="黑体" w:hAnsi="黑体" w:eastAsia="黑体"/>
          <w:sz w:val="28"/>
          <w:szCs w:val="30"/>
        </w:rPr>
        <w:t>？</w:t>
      </w:r>
    </w:p>
    <w:p>
      <w:pPr>
        <w:spacing w:line="560" w:lineRule="exact"/>
        <w:ind w:firstLine="560" w:firstLineChars="200"/>
        <w:rPr>
          <w:rFonts w:ascii="Times New Roman" w:hAnsi="Times New Roman" w:eastAsia="方正仿宋简体" w:cs="Times New Roman"/>
          <w:sz w:val="28"/>
          <w:szCs w:val="30"/>
        </w:rPr>
      </w:pPr>
      <w:r>
        <w:rPr>
          <w:rFonts w:ascii="Times New Roman" w:hAnsi="Times New Roman" w:eastAsia="方正仿宋简体" w:cs="Times New Roman"/>
          <w:sz w:val="28"/>
          <w:szCs w:val="30"/>
        </w:rPr>
        <w:t>期权是期权买方在约定时间以约定价格买入或卖出约定数量标的资产的权利。期权买方向期权卖方支付权利金，在约定时间可选择行使或放弃该权利。若期权买方选择行权，则期权卖方必须履行义务</w:t>
      </w:r>
      <w:r>
        <w:rPr>
          <w:rFonts w:hint="eastAsia" w:ascii="Times New Roman" w:hAnsi="Times New Roman" w:eastAsia="方正仿宋简体" w:cs="Times New Roman"/>
          <w:sz w:val="28"/>
          <w:szCs w:val="30"/>
        </w:rPr>
        <w:t>。</w:t>
      </w:r>
      <w:r>
        <w:rPr>
          <w:rFonts w:ascii="Times New Roman" w:hAnsi="Times New Roman" w:eastAsia="方正仿宋简体" w:cs="Times New Roman"/>
          <w:sz w:val="28"/>
          <w:szCs w:val="30"/>
        </w:rPr>
        <w:t>就</w:t>
      </w:r>
      <w:r>
        <w:rPr>
          <w:rFonts w:hint="eastAsia" w:ascii="Times New Roman" w:hAnsi="Times New Roman" w:eastAsia="方正仿宋简体" w:cs="Times New Roman"/>
          <w:sz w:val="28"/>
          <w:szCs w:val="30"/>
        </w:rPr>
        <w:t>股票期权而言，它包括ETF期权和个股期权，前者的标的资产为交易型开放式基金（ETF），后者的标的资产为单只股票。</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深交所将推出的股票期权，是以嘉实沪深300ETF（159919）为合约标的、由深交所统一制定并在深市挂牌交易的标准化合约。</w:t>
      </w:r>
    </w:p>
    <w:p>
      <w:pPr>
        <w:rPr>
          <w:rFonts w:ascii="黑体" w:hAnsi="黑体" w:eastAsia="黑体" w:cs="Times New Roman"/>
          <w:sz w:val="28"/>
          <w:szCs w:val="30"/>
        </w:rPr>
      </w:pPr>
      <w:r>
        <w:rPr>
          <w:rFonts w:hint="eastAsia" w:ascii="黑体" w:hAnsi="黑体" w:eastAsia="黑体" w:cs="Times New Roman"/>
          <w:sz w:val="28"/>
          <w:szCs w:val="30"/>
        </w:rPr>
        <w:t>二、股票期权有哪些分类？</w:t>
      </w:r>
    </w:p>
    <w:p>
      <w:pPr>
        <w:spacing w:line="560" w:lineRule="exact"/>
        <w:ind w:firstLine="560" w:firstLineChars="200"/>
        <w:rPr>
          <w:rFonts w:ascii="Times New Roman" w:hAnsi="Times New Roman" w:eastAsia="方正仿宋简体" w:cs="Times New Roman"/>
          <w:b/>
          <w:sz w:val="28"/>
          <w:szCs w:val="30"/>
        </w:rPr>
      </w:pPr>
      <w:r>
        <w:rPr>
          <w:rFonts w:hint="eastAsia" w:ascii="Times New Roman" w:hAnsi="Times New Roman" w:eastAsia="方正仿宋简体" w:cs="Times New Roman"/>
          <w:b/>
          <w:sz w:val="28"/>
          <w:szCs w:val="30"/>
        </w:rPr>
        <w:t>（一）按交易方向划分，分为认购期权和认沽期权</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认购期权，是指期权买方在约定时间以约定价格从期权卖方手中买入约定数量的标的资产的权利，即“买权”。</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认沽期权，是指期权买方在约定时间以约定价格向期权卖方卖出约定数量的标的资产的权利，即“卖权”。</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例如，您买入一张行权价为3.300元的嘉实沪深300ETF（159919）认购期权/认沽期权，合约到期时，您有权以3.300元的价格买入/卖出约定份数嘉实沪深300ETF。若此时该ETF的市场价格低于/高于3.300元，您也可以放弃行权，损失已支付的权利金。</w:t>
      </w:r>
    </w:p>
    <w:p>
      <w:pPr>
        <w:spacing w:line="560" w:lineRule="exact"/>
        <w:ind w:firstLine="560" w:firstLineChars="200"/>
        <w:rPr>
          <w:rFonts w:ascii="Times New Roman" w:hAnsi="Times New Roman" w:eastAsia="方正仿宋简体" w:cs="Times New Roman"/>
          <w:b/>
          <w:sz w:val="28"/>
          <w:szCs w:val="30"/>
        </w:rPr>
      </w:pPr>
      <w:r>
        <w:rPr>
          <w:rFonts w:hint="eastAsia" w:ascii="Times New Roman" w:hAnsi="Times New Roman" w:eastAsia="方正仿宋简体" w:cs="Times New Roman"/>
          <w:b/>
          <w:sz w:val="28"/>
          <w:szCs w:val="30"/>
        </w:rPr>
        <w:t>（二）按行权时限划分，分为欧式期权和美式期权</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欧式期权是指期权买方只能在到期日当天行权。类似于一张2019年12月31日的音乐会门票，只能在当天使用。</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美式期权则允许期权买方在到期日前的任一交易日或到期日行权。类似于一张2019年12月31日到期的购物券，在到期前的任意一天，都可以使用。</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深交所股票期权为欧式期权，期权买方只能在到期日行权。</w:t>
      </w:r>
    </w:p>
    <w:p>
      <w:pPr>
        <w:spacing w:line="560" w:lineRule="exact"/>
        <w:ind w:firstLine="560" w:firstLineChars="200"/>
        <w:rPr>
          <w:rFonts w:ascii="Times New Roman" w:hAnsi="Times New Roman" w:eastAsia="方正仿宋简体" w:cs="Times New Roman"/>
          <w:b/>
          <w:sz w:val="28"/>
          <w:szCs w:val="30"/>
        </w:rPr>
      </w:pPr>
      <w:r>
        <w:rPr>
          <w:rFonts w:hint="eastAsia" w:ascii="Times New Roman" w:hAnsi="Times New Roman" w:eastAsia="方正仿宋简体" w:cs="Times New Roman"/>
          <w:b/>
          <w:sz w:val="28"/>
          <w:szCs w:val="30"/>
        </w:rPr>
        <w:t>（三）按交易场所划分，可以分为场内期权和场外期权</w:t>
      </w:r>
    </w:p>
    <w:p>
      <w:pPr>
        <w:spacing w:line="560" w:lineRule="exact"/>
        <w:ind w:firstLine="560" w:firstLineChars="200"/>
        <w:rPr>
          <w:rFonts w:ascii="Times New Roman" w:hAnsi="Times New Roman" w:eastAsia="方正仿宋简体" w:cs="Times New Roman"/>
          <w:sz w:val="28"/>
          <w:szCs w:val="30"/>
        </w:rPr>
      </w:pPr>
      <w:r>
        <w:rPr>
          <w:rFonts w:ascii="Times New Roman" w:hAnsi="Times New Roman" w:eastAsia="方正仿宋简体" w:cs="Times New Roman"/>
          <w:sz w:val="28"/>
          <w:szCs w:val="30"/>
        </w:rPr>
        <w:t>场内期权</w:t>
      </w:r>
      <w:r>
        <w:rPr>
          <w:rFonts w:hint="eastAsia" w:ascii="Times New Roman" w:hAnsi="Times New Roman" w:eastAsia="方正仿宋简体" w:cs="Times New Roman"/>
          <w:sz w:val="28"/>
          <w:szCs w:val="30"/>
        </w:rPr>
        <w:t>，</w:t>
      </w:r>
      <w:r>
        <w:rPr>
          <w:rFonts w:ascii="Times New Roman" w:hAnsi="Times New Roman" w:eastAsia="方正仿宋简体" w:cs="Times New Roman"/>
          <w:sz w:val="28"/>
          <w:szCs w:val="30"/>
        </w:rPr>
        <w:t>是指在交易所挂牌上市的标准化期权合约</w:t>
      </w:r>
      <w:r>
        <w:rPr>
          <w:rFonts w:hint="eastAsia" w:ascii="Times New Roman" w:hAnsi="Times New Roman" w:eastAsia="方正仿宋简体" w:cs="Times New Roman"/>
          <w:sz w:val="28"/>
          <w:szCs w:val="30"/>
        </w:rPr>
        <w:t>。</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场外期权，是指在场外市场进行交易的期权合约。</w:t>
      </w:r>
    </w:p>
    <w:p>
      <w:pPr>
        <w:spacing w:line="560" w:lineRule="exact"/>
        <w:ind w:firstLine="560" w:firstLineChars="200"/>
        <w:rPr>
          <w:rFonts w:ascii="Times New Roman" w:hAnsi="Times New Roman" w:eastAsia="方正仿宋简体" w:cs="Times New Roman"/>
          <w:b/>
          <w:sz w:val="28"/>
          <w:szCs w:val="30"/>
        </w:rPr>
      </w:pPr>
      <w:r>
        <w:rPr>
          <w:rFonts w:hint="eastAsia" w:ascii="Times New Roman" w:hAnsi="Times New Roman" w:eastAsia="方正仿宋简体" w:cs="Times New Roman"/>
          <w:b/>
          <w:sz w:val="28"/>
          <w:szCs w:val="30"/>
        </w:rPr>
        <w:t>（四）按行权价与标的价格关系划分，分为实值期权、平值期权和虚值期权</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实值期权，是指行权价低于标的价格的认购期权，以及行权价高于标的价格的认沽期权。</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平值期权，是指行权价等于标的价格的认购期权和认沽期权。</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虚值期权，是指行权价高于标的价格的认购期权，以及行权价低于标的价格的认沽期权。</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例如，嘉实沪深300ETF（159919）当前市价为3.000元，则行权价为2.900元的认购期权和行权价为3.100元的认沽期权都是实值期权；而行权价为3.100元的认购期权和行权价为2.900元的认沽期权则均为虚值期权。行权价为3.000元的认购、认沽期权都是平值期权。</w:t>
      </w:r>
    </w:p>
    <w:p>
      <w:pPr>
        <w:spacing w:line="560" w:lineRule="exact"/>
        <w:ind w:firstLine="560" w:firstLineChars="200"/>
        <w:rPr>
          <w:rFonts w:ascii="楷体" w:hAnsi="楷体" w:eastAsia="楷体" w:cs="Times New Roman"/>
          <w:sz w:val="28"/>
          <w:szCs w:val="30"/>
        </w:rPr>
      </w:pPr>
      <w:r>
        <w:rPr>
          <w:rFonts w:hint="eastAsia" w:ascii="Times New Roman" w:hAnsi="Times New Roman" w:eastAsia="方正仿宋简体" w:cs="Times New Roman"/>
          <w:sz w:val="28"/>
          <w:szCs w:val="30"/>
        </w:rPr>
        <w:t>其他条件相同时，通常实值期权价格＞平值期权价格＞虚值期权价格。同时，随着标的价格变动，期权合约可能会在实值、平值、虚值间变动。</w:t>
      </w:r>
    </w:p>
    <w:p>
      <w:pPr>
        <w:rPr>
          <w:rFonts w:ascii="黑体" w:hAnsi="黑体" w:eastAsia="黑体" w:cs="Times New Roman"/>
          <w:sz w:val="28"/>
          <w:szCs w:val="30"/>
        </w:rPr>
      </w:pPr>
      <w:r>
        <w:rPr>
          <w:rFonts w:hint="eastAsia" w:ascii="黑体" w:hAnsi="黑体" w:eastAsia="黑体" w:cs="Times New Roman"/>
          <w:sz w:val="28"/>
          <w:szCs w:val="30"/>
        </w:rPr>
        <w:t>三、股票期权与股票、期货有什么区别？</w:t>
      </w:r>
    </w:p>
    <w:p>
      <w:pPr>
        <w:spacing w:line="560" w:lineRule="exact"/>
        <w:ind w:firstLine="560" w:firstLineChars="200"/>
        <w:rPr>
          <w:rFonts w:ascii="Times New Roman" w:hAnsi="Times New Roman" w:eastAsia="方正仿宋简体" w:cs="Times New Roman"/>
          <w:b/>
          <w:sz w:val="28"/>
          <w:szCs w:val="30"/>
        </w:rPr>
      </w:pPr>
      <w:r>
        <w:rPr>
          <w:rFonts w:hint="eastAsia" w:ascii="Times New Roman" w:hAnsi="Times New Roman" w:eastAsia="方正仿宋简体" w:cs="Times New Roman"/>
          <w:b/>
          <w:sz w:val="28"/>
          <w:szCs w:val="30"/>
        </w:rPr>
        <w:t>（一）股票期权与股票</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股票期权价格受标的股票价格、价格波动率及分红政策等影响。但股票期权与股票存在显著差异：</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一是交易对象不同。股票期权交易对象是在约定时间以约定价格买入或卖出标的资产的选择权，而股票的交易对象则是个股。</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二是收益曲线不同。股票期权的收益曲线是非线性的，股票的收益曲线是线性的。</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三是交易方式不同。股票期权采用信用杠杆交易，股票一般采用全现金交易。股票期权的卖方需要缴纳保证金，而股票则是全额现金储备。</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四是到期日不同。股票期权合约有具体到期日的约定，合约过期作废。而对于股票，只要没有摘牌，投资者可以无限期持有上市公司股票。</w:t>
      </w:r>
    </w:p>
    <w:p>
      <w:pPr>
        <w:spacing w:line="560" w:lineRule="exact"/>
        <w:ind w:firstLine="560" w:firstLineChars="200"/>
        <w:rPr>
          <w:rFonts w:ascii="Times New Roman" w:hAnsi="Times New Roman" w:eastAsia="方正仿宋简体" w:cs="Times New Roman"/>
          <w:b/>
          <w:sz w:val="28"/>
          <w:szCs w:val="30"/>
        </w:rPr>
      </w:pPr>
      <w:r>
        <w:rPr>
          <w:rFonts w:hint="eastAsia" w:ascii="Times New Roman" w:hAnsi="Times New Roman" w:eastAsia="方正仿宋简体" w:cs="Times New Roman"/>
          <w:b/>
          <w:sz w:val="28"/>
          <w:szCs w:val="30"/>
        </w:rPr>
        <w:t>（二）股票期权与期货</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场内股票期权与期货作为在交易所交易的标准化产品，都能成为投资者实现风险管理的手段。但股票期权不同于期货，体现在：</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第一，买卖双方权利义务不同。股票期权合约是非对称合约，期权买方在合约到期时享有行权与否的选择权，</w:t>
      </w:r>
      <w:r>
        <w:rPr>
          <w:rFonts w:ascii="Times New Roman" w:hAnsi="Times New Roman" w:eastAsia="方正仿宋简体" w:cs="Times New Roman"/>
          <w:sz w:val="28"/>
          <w:szCs w:val="30"/>
        </w:rPr>
        <w:t>若期权买方选择行权，则期权卖方必须履行义务</w:t>
      </w:r>
      <w:r>
        <w:rPr>
          <w:rFonts w:hint="eastAsia" w:ascii="Times New Roman" w:hAnsi="Times New Roman" w:eastAsia="方正仿宋简体" w:cs="Times New Roman"/>
          <w:sz w:val="28"/>
          <w:szCs w:val="30"/>
        </w:rPr>
        <w:t>。而期货合约当事人双方负有对等的权利和义务，合约到期时，当事人必须按照约定的价格买入或卖出标的物（或进行现金结算）。</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第二，保证金规定不同。股票期权交易中，只有期权卖方需要支付保证金，其保证金一般按照非线性比例收取。期货交易中，买卖双方都需缴纳一定的保证金作为担保，其保证金按照线性比例收取。</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第三，风险和获利的对称性不同。股票期权交易中，当事人承担的风险和收益并不对称，期权买方承担有限风险（即损失权利金的风险）而可能获得较大盈利；期权卖方享有有限收益（以所获权利金为限）而可能遭受较大亏损。而期货合约当事人双方承担的盈亏风险是对称的。</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第四，套期保值与盈利性的权衡不同。股票期权套期保值在锁定风险的同时，预留进一步的盈利空间，当标的股票价格往有利的方向运动时可以获利。而期货套期保值，规避风险的同时也放弃了收益变动增长的可能性。</w:t>
      </w:r>
    </w:p>
    <w:p>
      <w:pPr>
        <w:spacing w:line="560" w:lineRule="exact"/>
        <w:ind w:firstLine="560" w:firstLineChars="200"/>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第五，收益曲线不同。期权的盈亏特性为非线性，需要同时关注涨跌方向和到期的价格，通过不同类型合约的组合使用，可实现更多样且立体化的收益曲线，且可复制期货交易的收益曲线。期货的盈亏特性为线性，交易的主要是涨跌方向，无法复制期权交易的收益曲线。</w:t>
      </w:r>
    </w:p>
    <w:p>
      <w:pPr>
        <w:spacing w:line="560" w:lineRule="exact"/>
        <w:jc w:val="center"/>
        <w:rPr>
          <w:rFonts w:ascii="Times New Roman" w:hAnsi="Times New Roman" w:eastAsia="方正仿宋简体" w:cs="Times New Roman"/>
          <w:sz w:val="28"/>
          <w:szCs w:val="30"/>
        </w:rPr>
      </w:pPr>
    </w:p>
    <w:p>
      <w:pPr>
        <w:spacing w:line="560" w:lineRule="exact"/>
        <w:jc w:val="center"/>
        <w:rPr>
          <w:rFonts w:ascii="Times New Roman" w:hAnsi="Times New Roman" w:eastAsia="方正仿宋简体" w:cs="Times New Roman"/>
          <w:sz w:val="28"/>
          <w:szCs w:val="30"/>
        </w:rPr>
      </w:pPr>
    </w:p>
    <w:p>
      <w:pPr>
        <w:spacing w:line="560" w:lineRule="exact"/>
        <w:jc w:val="center"/>
        <w:rPr>
          <w:rFonts w:ascii="Times New Roman" w:hAnsi="Times New Roman" w:eastAsia="方正仿宋简体" w:cs="Times New Roman"/>
          <w:sz w:val="28"/>
          <w:szCs w:val="30"/>
        </w:rPr>
      </w:pPr>
      <w:r>
        <w:rPr>
          <w:rFonts w:hint="eastAsia" w:ascii="Times New Roman" w:hAnsi="Times New Roman" w:eastAsia="方正仿宋简体" w:cs="Times New Roman"/>
          <w:sz w:val="28"/>
          <w:szCs w:val="30"/>
        </w:rPr>
        <w:t>表：股票期权和期货的区别</w:t>
      </w:r>
    </w:p>
    <w:tbl>
      <w:tblPr>
        <w:tblStyle w:val="16"/>
        <w:tblW w:w="5000" w:type="pct"/>
        <w:tblInd w:w="0" w:type="dxa"/>
        <w:tblLayout w:type="autofit"/>
        <w:tblCellMar>
          <w:top w:w="0" w:type="dxa"/>
          <w:left w:w="108" w:type="dxa"/>
          <w:bottom w:w="0" w:type="dxa"/>
          <w:right w:w="108" w:type="dxa"/>
        </w:tblCellMar>
      </w:tblPr>
      <w:tblGrid>
        <w:gridCol w:w="1355"/>
        <w:gridCol w:w="3584"/>
        <w:gridCol w:w="3583"/>
      </w:tblGrid>
      <w:tr>
        <w:tblPrEx>
          <w:tblCellMar>
            <w:top w:w="0" w:type="dxa"/>
            <w:left w:w="108" w:type="dxa"/>
            <w:bottom w:w="0" w:type="dxa"/>
            <w:right w:w="108" w:type="dxa"/>
          </w:tblCellMar>
        </w:tblPrEx>
        <w:trPr>
          <w:trHeight w:val="461" w:hRule="atLeast"/>
        </w:trPr>
        <w:tc>
          <w:tcPr>
            <w:tcW w:w="79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方正仿宋简体" w:hAnsi="微软雅黑" w:eastAsia="方正仿宋简体"/>
                <w:b/>
                <w:sz w:val="24"/>
                <w:szCs w:val="28"/>
              </w:rPr>
            </w:pPr>
          </w:p>
        </w:tc>
        <w:tc>
          <w:tcPr>
            <w:tcW w:w="210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方正仿宋简体" w:hAnsi="微软雅黑" w:eastAsia="方正仿宋简体"/>
                <w:b/>
                <w:sz w:val="24"/>
                <w:szCs w:val="28"/>
              </w:rPr>
            </w:pPr>
            <w:r>
              <w:rPr>
                <w:rFonts w:hint="eastAsia" w:ascii="方正仿宋简体" w:hAnsi="微软雅黑" w:eastAsia="方正仿宋简体"/>
                <w:b/>
                <w:sz w:val="24"/>
                <w:szCs w:val="28"/>
              </w:rPr>
              <w:t>股票期权</w:t>
            </w:r>
          </w:p>
        </w:tc>
        <w:tc>
          <w:tcPr>
            <w:tcW w:w="210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方正仿宋简体" w:hAnsi="微软雅黑" w:eastAsia="方正仿宋简体"/>
                <w:b/>
                <w:sz w:val="24"/>
                <w:szCs w:val="28"/>
              </w:rPr>
            </w:pPr>
            <w:r>
              <w:rPr>
                <w:rFonts w:hint="eastAsia" w:ascii="方正仿宋简体" w:hAnsi="微软雅黑" w:eastAsia="方正仿宋简体"/>
                <w:b/>
                <w:sz w:val="24"/>
                <w:szCs w:val="28"/>
              </w:rPr>
              <w:t>期货</w:t>
            </w:r>
          </w:p>
        </w:tc>
      </w:tr>
      <w:tr>
        <w:tblPrEx>
          <w:tblCellMar>
            <w:top w:w="0" w:type="dxa"/>
            <w:left w:w="108" w:type="dxa"/>
            <w:bottom w:w="0" w:type="dxa"/>
            <w:right w:w="108" w:type="dxa"/>
          </w:tblCellMar>
        </w:tblPrEx>
        <w:trPr>
          <w:trHeight w:val="510" w:hRule="atLeast"/>
        </w:trPr>
        <w:tc>
          <w:tcPr>
            <w:tcW w:w="79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微软雅黑" w:eastAsia="方正仿宋简体"/>
                <w:b/>
                <w:sz w:val="22"/>
                <w:szCs w:val="28"/>
              </w:rPr>
            </w:pPr>
            <w:r>
              <w:rPr>
                <w:rFonts w:hint="eastAsia" w:ascii="方正仿宋简体" w:hAnsi="微软雅黑" w:eastAsia="方正仿宋简体"/>
                <w:b/>
                <w:sz w:val="22"/>
                <w:szCs w:val="28"/>
              </w:rPr>
              <w:t>权利和义务</w:t>
            </w:r>
          </w:p>
        </w:tc>
        <w:tc>
          <w:tcPr>
            <w:tcW w:w="21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微软雅黑" w:eastAsia="方正仿宋简体"/>
                <w:sz w:val="22"/>
                <w:szCs w:val="28"/>
              </w:rPr>
            </w:pPr>
            <w:r>
              <w:rPr>
                <w:rFonts w:hint="eastAsia" w:ascii="方正仿宋简体" w:hAnsi="微软雅黑" w:eastAsia="方正仿宋简体"/>
                <w:sz w:val="22"/>
                <w:szCs w:val="28"/>
              </w:rPr>
              <w:t>非对称</w:t>
            </w:r>
          </w:p>
        </w:tc>
        <w:tc>
          <w:tcPr>
            <w:tcW w:w="21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微软雅黑" w:eastAsia="方正仿宋简体"/>
                <w:sz w:val="22"/>
                <w:szCs w:val="28"/>
              </w:rPr>
            </w:pPr>
            <w:r>
              <w:rPr>
                <w:rFonts w:hint="eastAsia" w:ascii="方正仿宋简体" w:hAnsi="微软雅黑" w:eastAsia="方正仿宋简体"/>
                <w:sz w:val="22"/>
                <w:szCs w:val="28"/>
              </w:rPr>
              <w:t>对称</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pct"/>
            <w:tcBorders>
              <w:top w:val="single" w:color="auto" w:sz="4" w:space="0"/>
            </w:tcBorders>
            <w:vAlign w:val="center"/>
          </w:tcPr>
          <w:p>
            <w:pPr>
              <w:widowControl/>
              <w:jc w:val="center"/>
              <w:rPr>
                <w:rFonts w:ascii="方正仿宋简体" w:hAnsi="微软雅黑" w:eastAsia="方正仿宋简体"/>
                <w:b/>
                <w:sz w:val="22"/>
                <w:szCs w:val="28"/>
              </w:rPr>
            </w:pPr>
            <w:r>
              <w:rPr>
                <w:rFonts w:hint="eastAsia" w:ascii="方正仿宋简体" w:hAnsi="微软雅黑" w:eastAsia="方正仿宋简体"/>
                <w:b/>
                <w:sz w:val="22"/>
                <w:szCs w:val="28"/>
              </w:rPr>
              <w:t>保证金</w:t>
            </w:r>
          </w:p>
        </w:tc>
        <w:tc>
          <w:tcPr>
            <w:tcW w:w="2103" w:type="pct"/>
            <w:tcBorders>
              <w:top w:val="single" w:color="auto" w:sz="4" w:space="0"/>
            </w:tcBorders>
            <w:vAlign w:val="center"/>
          </w:tcPr>
          <w:p>
            <w:pPr>
              <w:widowControl/>
              <w:jc w:val="center"/>
              <w:rPr>
                <w:rFonts w:ascii="方正仿宋简体" w:hAnsi="微软雅黑" w:eastAsia="方正仿宋简体"/>
                <w:sz w:val="22"/>
                <w:szCs w:val="28"/>
              </w:rPr>
            </w:pPr>
            <w:r>
              <w:rPr>
                <w:rFonts w:hint="eastAsia" w:ascii="方正仿宋简体" w:hAnsi="微软雅黑" w:eastAsia="方正仿宋简体"/>
                <w:sz w:val="22"/>
                <w:szCs w:val="28"/>
              </w:rPr>
              <w:t>卖方支付，非线性比例收取</w:t>
            </w:r>
          </w:p>
        </w:tc>
        <w:tc>
          <w:tcPr>
            <w:tcW w:w="2103" w:type="pct"/>
            <w:tcBorders>
              <w:top w:val="single" w:color="auto" w:sz="4" w:space="0"/>
            </w:tcBorders>
            <w:vAlign w:val="center"/>
          </w:tcPr>
          <w:p>
            <w:pPr>
              <w:widowControl/>
              <w:jc w:val="center"/>
              <w:rPr>
                <w:rFonts w:ascii="方正仿宋简体" w:hAnsi="微软雅黑" w:eastAsia="方正仿宋简体"/>
                <w:sz w:val="22"/>
                <w:szCs w:val="28"/>
              </w:rPr>
            </w:pPr>
            <w:r>
              <w:rPr>
                <w:rFonts w:hint="eastAsia" w:ascii="方正仿宋简体" w:hAnsi="微软雅黑" w:eastAsia="方正仿宋简体"/>
                <w:sz w:val="22"/>
                <w:szCs w:val="28"/>
              </w:rPr>
              <w:t>双方均支付，线性比例收取</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pct"/>
            <w:vAlign w:val="center"/>
          </w:tcPr>
          <w:p>
            <w:pPr>
              <w:widowControl/>
              <w:jc w:val="center"/>
              <w:rPr>
                <w:rFonts w:ascii="方正仿宋简体" w:hAnsi="微软雅黑" w:eastAsia="方正仿宋简体"/>
                <w:b/>
                <w:sz w:val="22"/>
                <w:szCs w:val="28"/>
              </w:rPr>
            </w:pPr>
            <w:r>
              <w:rPr>
                <w:rFonts w:hint="eastAsia" w:ascii="方正仿宋简体" w:hAnsi="微软雅黑" w:eastAsia="方正仿宋简体"/>
                <w:b/>
                <w:sz w:val="22"/>
                <w:szCs w:val="28"/>
              </w:rPr>
              <w:t>风险和获利</w:t>
            </w:r>
          </w:p>
        </w:tc>
        <w:tc>
          <w:tcPr>
            <w:tcW w:w="2103" w:type="pct"/>
            <w:vAlign w:val="center"/>
          </w:tcPr>
          <w:p>
            <w:pPr>
              <w:widowControl/>
              <w:jc w:val="center"/>
              <w:rPr>
                <w:rFonts w:ascii="方正仿宋简体" w:hAnsi="微软雅黑" w:eastAsia="方正仿宋简体"/>
                <w:sz w:val="22"/>
                <w:szCs w:val="28"/>
              </w:rPr>
            </w:pPr>
            <w:r>
              <w:rPr>
                <w:rFonts w:hint="eastAsia" w:ascii="方正仿宋简体" w:hAnsi="微软雅黑" w:eastAsia="方正仿宋简体"/>
                <w:sz w:val="22"/>
                <w:szCs w:val="28"/>
              </w:rPr>
              <w:t>非对称</w:t>
            </w:r>
          </w:p>
        </w:tc>
        <w:tc>
          <w:tcPr>
            <w:tcW w:w="2103" w:type="pct"/>
            <w:vAlign w:val="center"/>
          </w:tcPr>
          <w:p>
            <w:pPr>
              <w:widowControl/>
              <w:jc w:val="center"/>
              <w:rPr>
                <w:rFonts w:ascii="方正仿宋简体" w:hAnsi="微软雅黑" w:eastAsia="方正仿宋简体"/>
                <w:sz w:val="22"/>
                <w:szCs w:val="28"/>
              </w:rPr>
            </w:pPr>
            <w:r>
              <w:rPr>
                <w:rFonts w:hint="eastAsia" w:ascii="方正仿宋简体" w:hAnsi="微软雅黑" w:eastAsia="方正仿宋简体"/>
                <w:sz w:val="22"/>
                <w:szCs w:val="28"/>
              </w:rPr>
              <w:t>对称</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pct"/>
            <w:vAlign w:val="center"/>
          </w:tcPr>
          <w:p>
            <w:pPr>
              <w:widowControl/>
              <w:jc w:val="center"/>
              <w:rPr>
                <w:rFonts w:ascii="方正仿宋简体" w:hAnsi="微软雅黑" w:eastAsia="方正仿宋简体"/>
                <w:b/>
                <w:sz w:val="22"/>
                <w:szCs w:val="28"/>
              </w:rPr>
            </w:pPr>
            <w:r>
              <w:rPr>
                <w:rFonts w:hint="eastAsia" w:ascii="方正仿宋简体" w:hAnsi="微软雅黑" w:eastAsia="方正仿宋简体"/>
                <w:b/>
                <w:sz w:val="22"/>
                <w:szCs w:val="28"/>
              </w:rPr>
              <w:t>盈利性</w:t>
            </w:r>
          </w:p>
        </w:tc>
        <w:tc>
          <w:tcPr>
            <w:tcW w:w="2103" w:type="pct"/>
            <w:vAlign w:val="center"/>
          </w:tcPr>
          <w:p>
            <w:pPr>
              <w:widowControl/>
              <w:jc w:val="center"/>
              <w:rPr>
                <w:rFonts w:ascii="方正仿宋简体" w:hAnsi="微软雅黑" w:eastAsia="方正仿宋简体"/>
                <w:sz w:val="22"/>
                <w:szCs w:val="28"/>
              </w:rPr>
            </w:pPr>
            <w:r>
              <w:rPr>
                <w:rFonts w:hint="eastAsia" w:ascii="方正仿宋简体" w:hAnsi="微软雅黑" w:eastAsia="方正仿宋简体"/>
                <w:sz w:val="22"/>
                <w:szCs w:val="28"/>
              </w:rPr>
              <w:t>锁定风险，预留进一步盈利的空间</w:t>
            </w:r>
          </w:p>
        </w:tc>
        <w:tc>
          <w:tcPr>
            <w:tcW w:w="2103" w:type="pct"/>
            <w:vAlign w:val="center"/>
          </w:tcPr>
          <w:p>
            <w:pPr>
              <w:widowControl/>
              <w:jc w:val="center"/>
              <w:rPr>
                <w:rFonts w:ascii="方正仿宋简体" w:hAnsi="微软雅黑" w:eastAsia="方正仿宋简体"/>
                <w:sz w:val="22"/>
                <w:szCs w:val="28"/>
              </w:rPr>
            </w:pPr>
            <w:r>
              <w:rPr>
                <w:rFonts w:hint="eastAsia" w:ascii="方正仿宋简体" w:hAnsi="微软雅黑" w:eastAsia="方正仿宋简体"/>
                <w:sz w:val="22"/>
                <w:szCs w:val="28"/>
              </w:rPr>
              <w:t>规避风险，放弃收益增长的可能性</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pct"/>
            <w:vAlign w:val="center"/>
          </w:tcPr>
          <w:p>
            <w:pPr>
              <w:widowControl/>
              <w:jc w:val="center"/>
              <w:rPr>
                <w:rFonts w:ascii="方正仿宋简体" w:hAnsi="微软雅黑" w:eastAsia="方正仿宋简体"/>
                <w:b/>
                <w:sz w:val="22"/>
                <w:szCs w:val="28"/>
              </w:rPr>
            </w:pPr>
            <w:r>
              <w:rPr>
                <w:rFonts w:hint="eastAsia" w:ascii="方正仿宋简体" w:hAnsi="微软雅黑" w:eastAsia="方正仿宋简体"/>
                <w:b/>
                <w:sz w:val="22"/>
                <w:szCs w:val="28"/>
              </w:rPr>
              <w:t>收益曲线</w:t>
            </w:r>
          </w:p>
        </w:tc>
        <w:tc>
          <w:tcPr>
            <w:tcW w:w="2103" w:type="pct"/>
            <w:vAlign w:val="center"/>
          </w:tcPr>
          <w:p>
            <w:pPr>
              <w:widowControl/>
              <w:jc w:val="center"/>
              <w:rPr>
                <w:rFonts w:ascii="方正仿宋简体" w:hAnsi="微软雅黑" w:eastAsia="方正仿宋简体"/>
                <w:sz w:val="22"/>
                <w:szCs w:val="28"/>
              </w:rPr>
            </w:pPr>
            <w:r>
              <w:rPr>
                <w:rFonts w:hint="eastAsia" w:ascii="方正仿宋简体" w:hAnsi="微软雅黑" w:eastAsia="方正仿宋简体"/>
                <w:sz w:val="22"/>
                <w:szCs w:val="28"/>
              </w:rPr>
              <w:t>非线性</w:t>
            </w:r>
          </w:p>
        </w:tc>
        <w:tc>
          <w:tcPr>
            <w:tcW w:w="2103" w:type="pct"/>
            <w:vAlign w:val="center"/>
          </w:tcPr>
          <w:p>
            <w:pPr>
              <w:widowControl/>
              <w:jc w:val="center"/>
              <w:rPr>
                <w:rFonts w:ascii="方正仿宋简体" w:hAnsi="微软雅黑" w:eastAsia="方正仿宋简体"/>
                <w:sz w:val="22"/>
                <w:szCs w:val="28"/>
              </w:rPr>
            </w:pPr>
            <w:r>
              <w:rPr>
                <w:rFonts w:hint="eastAsia" w:ascii="方正仿宋简体" w:hAnsi="微软雅黑" w:eastAsia="方正仿宋简体"/>
                <w:sz w:val="22"/>
                <w:szCs w:val="28"/>
              </w:rPr>
              <w:t>线性</w:t>
            </w:r>
          </w:p>
        </w:tc>
      </w:tr>
    </w:tbl>
    <w:p>
      <w:pPr>
        <w:spacing w:line="560" w:lineRule="exact"/>
        <w:ind w:firstLine="560" w:firstLineChars="200"/>
        <w:rPr>
          <w:rFonts w:ascii="Times New Roman" w:hAnsi="Times New Roman" w:eastAsia="方正仿宋简体" w:cs="Times New Roman"/>
          <w:sz w:val="28"/>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00000000000000000"/>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7277425"/>
      <w:docPartObj>
        <w:docPartGallery w:val="AutoText"/>
      </w:docPartObj>
    </w:sdtPr>
    <w:sdtContent>
      <w:p>
        <w:pPr>
          <w:pStyle w:val="13"/>
          <w:jc w:val="center"/>
        </w:pPr>
        <w:r>
          <w:fldChar w:fldCharType="begin"/>
        </w:r>
        <w:r>
          <w:instrText xml:space="preserve">PAGE   \* MERGEFORMAT</w:instrText>
        </w:r>
        <w:r>
          <w:fldChar w:fldCharType="separate"/>
        </w:r>
        <w:r>
          <w:rPr>
            <w:lang w:val="zh-CN"/>
          </w:rPr>
          <w:t>5</w:t>
        </w:r>
        <w:r>
          <w:fldChar w:fldCharType="end"/>
        </w:r>
      </w:p>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E4B6E"/>
    <w:multiLevelType w:val="multilevel"/>
    <w:tmpl w:val="353E4B6E"/>
    <w:lvl w:ilvl="0" w:tentative="0">
      <w:start w:val="1"/>
      <w:numFmt w:val="chineseCountingThousand"/>
      <w:pStyle w:val="2"/>
      <w:suff w:val="space"/>
      <w:lvlText w:val="第%1章"/>
      <w:lvlJc w:val="left"/>
      <w:pPr>
        <w:ind w:left="3261" w:firstLine="0"/>
      </w:pPr>
      <w:rPr>
        <w:rFonts w:hint="eastAsia"/>
        <w:b/>
        <w:bCs w:val="0"/>
        <w:i w:val="0"/>
        <w:iCs w:val="0"/>
        <w:caps w:val="0"/>
        <w:smallCaps w:val="0"/>
        <w:strike w:val="0"/>
        <w:dstrike w:val="0"/>
        <w:vanish w:val="0"/>
        <w:color w:val="00000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chineseCountingThousand"/>
      <w:pStyle w:val="3"/>
      <w:suff w:val="nothing"/>
      <w:lvlText w:val="%2、"/>
      <w:lvlJc w:val="left"/>
      <w:pPr>
        <w:ind w:left="0" w:firstLine="0"/>
      </w:pPr>
      <w:rPr>
        <w:rFonts w:hint="eastAsia"/>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2" w:tentative="0">
      <w:start w:val="1"/>
      <w:numFmt w:val="chineseCountingThousand"/>
      <w:pStyle w:val="4"/>
      <w:suff w:val="nothing"/>
      <w:lvlText w:val="（%3）"/>
      <w:lvlJc w:val="left"/>
      <w:pPr>
        <w:ind w:left="1702" w:hanging="1134"/>
      </w:pPr>
      <w:rPr>
        <w:rFonts w:hint="eastAsia"/>
        <w:b/>
        <w:bCs w:val="0"/>
        <w:i w:val="0"/>
        <w:iCs w:val="0"/>
        <w:caps w:val="0"/>
        <w:smallCaps w:val="0"/>
        <w:strike w:val="0"/>
        <w:dstrike w:val="0"/>
        <w:vanish w:val="0"/>
        <w:color w:val="00000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5"/>
      <w:suff w:val="space"/>
      <w:lvlText w:val="%4."/>
      <w:lvlJc w:val="left"/>
      <w:pPr>
        <w:ind w:left="0" w:firstLine="0"/>
      </w:pPr>
      <w:rPr>
        <w:rFonts w:hint="eastAsia"/>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328"/>
    <w:rsid w:val="00001C26"/>
    <w:rsid w:val="00004FC3"/>
    <w:rsid w:val="000074F8"/>
    <w:rsid w:val="000162D4"/>
    <w:rsid w:val="0002155A"/>
    <w:rsid w:val="00024C36"/>
    <w:rsid w:val="00032180"/>
    <w:rsid w:val="00046297"/>
    <w:rsid w:val="0006097B"/>
    <w:rsid w:val="0006434D"/>
    <w:rsid w:val="0008615D"/>
    <w:rsid w:val="00092610"/>
    <w:rsid w:val="00096566"/>
    <w:rsid w:val="000A0B9A"/>
    <w:rsid w:val="000A67D1"/>
    <w:rsid w:val="000C0455"/>
    <w:rsid w:val="000C1EA8"/>
    <w:rsid w:val="000D3781"/>
    <w:rsid w:val="000D6202"/>
    <w:rsid w:val="000E7FEC"/>
    <w:rsid w:val="000F0A09"/>
    <w:rsid w:val="000F21EE"/>
    <w:rsid w:val="000F2BA4"/>
    <w:rsid w:val="000F659C"/>
    <w:rsid w:val="0010680A"/>
    <w:rsid w:val="00114E9A"/>
    <w:rsid w:val="001154D8"/>
    <w:rsid w:val="00123EC3"/>
    <w:rsid w:val="00126319"/>
    <w:rsid w:val="00131C3E"/>
    <w:rsid w:val="00136702"/>
    <w:rsid w:val="00164049"/>
    <w:rsid w:val="00193C02"/>
    <w:rsid w:val="001A309C"/>
    <w:rsid w:val="001A51B5"/>
    <w:rsid w:val="001B112C"/>
    <w:rsid w:val="001B5719"/>
    <w:rsid w:val="001C0FB3"/>
    <w:rsid w:val="001D630C"/>
    <w:rsid w:val="001E0B5A"/>
    <w:rsid w:val="001E0DF4"/>
    <w:rsid w:val="001E588D"/>
    <w:rsid w:val="002075AE"/>
    <w:rsid w:val="00214023"/>
    <w:rsid w:val="00217134"/>
    <w:rsid w:val="00230C44"/>
    <w:rsid w:val="0024051F"/>
    <w:rsid w:val="002440AB"/>
    <w:rsid w:val="00256C4F"/>
    <w:rsid w:val="002714EA"/>
    <w:rsid w:val="0029646F"/>
    <w:rsid w:val="002B0F0B"/>
    <w:rsid w:val="002B7328"/>
    <w:rsid w:val="002C3DD9"/>
    <w:rsid w:val="002D00BF"/>
    <w:rsid w:val="002E155E"/>
    <w:rsid w:val="002F3A87"/>
    <w:rsid w:val="002F6DC2"/>
    <w:rsid w:val="00314289"/>
    <w:rsid w:val="003173DD"/>
    <w:rsid w:val="00323B11"/>
    <w:rsid w:val="00323FA6"/>
    <w:rsid w:val="0033249C"/>
    <w:rsid w:val="00340112"/>
    <w:rsid w:val="003435CC"/>
    <w:rsid w:val="003553B2"/>
    <w:rsid w:val="00357CF8"/>
    <w:rsid w:val="003670F3"/>
    <w:rsid w:val="00370E80"/>
    <w:rsid w:val="00370FDF"/>
    <w:rsid w:val="003953B1"/>
    <w:rsid w:val="003A7F82"/>
    <w:rsid w:val="003B17FB"/>
    <w:rsid w:val="003B3EAF"/>
    <w:rsid w:val="003B68F0"/>
    <w:rsid w:val="003C2017"/>
    <w:rsid w:val="003C72AE"/>
    <w:rsid w:val="003D2431"/>
    <w:rsid w:val="003E4635"/>
    <w:rsid w:val="003F6B5D"/>
    <w:rsid w:val="00402A1A"/>
    <w:rsid w:val="00410BF9"/>
    <w:rsid w:val="00412582"/>
    <w:rsid w:val="00413066"/>
    <w:rsid w:val="00422A44"/>
    <w:rsid w:val="00443231"/>
    <w:rsid w:val="00460EF9"/>
    <w:rsid w:val="0046267B"/>
    <w:rsid w:val="00464513"/>
    <w:rsid w:val="00470508"/>
    <w:rsid w:val="00491327"/>
    <w:rsid w:val="00491A02"/>
    <w:rsid w:val="00493C6A"/>
    <w:rsid w:val="004963B0"/>
    <w:rsid w:val="004B2909"/>
    <w:rsid w:val="004C0240"/>
    <w:rsid w:val="004C585D"/>
    <w:rsid w:val="004D4ED3"/>
    <w:rsid w:val="004E5D8F"/>
    <w:rsid w:val="004F0329"/>
    <w:rsid w:val="005005F4"/>
    <w:rsid w:val="005031F2"/>
    <w:rsid w:val="00504847"/>
    <w:rsid w:val="00510A04"/>
    <w:rsid w:val="005166FE"/>
    <w:rsid w:val="00520549"/>
    <w:rsid w:val="00525928"/>
    <w:rsid w:val="00534229"/>
    <w:rsid w:val="00542B66"/>
    <w:rsid w:val="00566429"/>
    <w:rsid w:val="00572F66"/>
    <w:rsid w:val="005737E1"/>
    <w:rsid w:val="00573EF2"/>
    <w:rsid w:val="00575A79"/>
    <w:rsid w:val="005824F6"/>
    <w:rsid w:val="005A2D5E"/>
    <w:rsid w:val="005B68DC"/>
    <w:rsid w:val="005E16F0"/>
    <w:rsid w:val="005F0A59"/>
    <w:rsid w:val="005F7849"/>
    <w:rsid w:val="0061039F"/>
    <w:rsid w:val="00614F9F"/>
    <w:rsid w:val="00626990"/>
    <w:rsid w:val="00627B9E"/>
    <w:rsid w:val="00635345"/>
    <w:rsid w:val="006442A3"/>
    <w:rsid w:val="00651773"/>
    <w:rsid w:val="00674A6E"/>
    <w:rsid w:val="00677EA6"/>
    <w:rsid w:val="00690DFC"/>
    <w:rsid w:val="006A2C38"/>
    <w:rsid w:val="006A7694"/>
    <w:rsid w:val="006B18BA"/>
    <w:rsid w:val="006D3B6B"/>
    <w:rsid w:val="006D6532"/>
    <w:rsid w:val="006E4AF1"/>
    <w:rsid w:val="006F03A2"/>
    <w:rsid w:val="00707293"/>
    <w:rsid w:val="007203C2"/>
    <w:rsid w:val="007210D0"/>
    <w:rsid w:val="00722007"/>
    <w:rsid w:val="00724292"/>
    <w:rsid w:val="00734105"/>
    <w:rsid w:val="00734DC7"/>
    <w:rsid w:val="00736884"/>
    <w:rsid w:val="0074764B"/>
    <w:rsid w:val="007763C7"/>
    <w:rsid w:val="00784A4C"/>
    <w:rsid w:val="007A06EB"/>
    <w:rsid w:val="007A1E14"/>
    <w:rsid w:val="007B61C8"/>
    <w:rsid w:val="007C3B8D"/>
    <w:rsid w:val="007D1943"/>
    <w:rsid w:val="007E3A73"/>
    <w:rsid w:val="007F0F70"/>
    <w:rsid w:val="007F12E3"/>
    <w:rsid w:val="00805625"/>
    <w:rsid w:val="008162EB"/>
    <w:rsid w:val="00836472"/>
    <w:rsid w:val="0085343E"/>
    <w:rsid w:val="00866E03"/>
    <w:rsid w:val="00870B42"/>
    <w:rsid w:val="00874F0D"/>
    <w:rsid w:val="00887EA0"/>
    <w:rsid w:val="00890EEA"/>
    <w:rsid w:val="008912EF"/>
    <w:rsid w:val="008A1A61"/>
    <w:rsid w:val="008A37C7"/>
    <w:rsid w:val="008A76BE"/>
    <w:rsid w:val="008C3B5E"/>
    <w:rsid w:val="008E500B"/>
    <w:rsid w:val="008F796A"/>
    <w:rsid w:val="008F7B8F"/>
    <w:rsid w:val="00901D0C"/>
    <w:rsid w:val="00904655"/>
    <w:rsid w:val="00904AA4"/>
    <w:rsid w:val="00906F1E"/>
    <w:rsid w:val="009363FA"/>
    <w:rsid w:val="00943904"/>
    <w:rsid w:val="00954291"/>
    <w:rsid w:val="00973F6B"/>
    <w:rsid w:val="009752D6"/>
    <w:rsid w:val="0097646C"/>
    <w:rsid w:val="00987DF1"/>
    <w:rsid w:val="009B1DCA"/>
    <w:rsid w:val="009B43C4"/>
    <w:rsid w:val="009C2A36"/>
    <w:rsid w:val="009C425C"/>
    <w:rsid w:val="009C61DA"/>
    <w:rsid w:val="009D35D6"/>
    <w:rsid w:val="009E01A1"/>
    <w:rsid w:val="009E6DA7"/>
    <w:rsid w:val="009E7601"/>
    <w:rsid w:val="009F208A"/>
    <w:rsid w:val="00A051B5"/>
    <w:rsid w:val="00A05CF8"/>
    <w:rsid w:val="00A063A8"/>
    <w:rsid w:val="00A06BC6"/>
    <w:rsid w:val="00A14C4D"/>
    <w:rsid w:val="00A152DF"/>
    <w:rsid w:val="00A168B5"/>
    <w:rsid w:val="00A20298"/>
    <w:rsid w:val="00A42F95"/>
    <w:rsid w:val="00A455E4"/>
    <w:rsid w:val="00A47FBF"/>
    <w:rsid w:val="00A640DC"/>
    <w:rsid w:val="00A64231"/>
    <w:rsid w:val="00A66957"/>
    <w:rsid w:val="00A6697D"/>
    <w:rsid w:val="00A75532"/>
    <w:rsid w:val="00A80DD8"/>
    <w:rsid w:val="00A8199E"/>
    <w:rsid w:val="00A830C4"/>
    <w:rsid w:val="00A87203"/>
    <w:rsid w:val="00AB10C4"/>
    <w:rsid w:val="00AB596C"/>
    <w:rsid w:val="00AC15CE"/>
    <w:rsid w:val="00AD0798"/>
    <w:rsid w:val="00AD6A76"/>
    <w:rsid w:val="00AD6EA4"/>
    <w:rsid w:val="00AF26B1"/>
    <w:rsid w:val="00AF5B4B"/>
    <w:rsid w:val="00B027D6"/>
    <w:rsid w:val="00B02D70"/>
    <w:rsid w:val="00B1320E"/>
    <w:rsid w:val="00B25848"/>
    <w:rsid w:val="00B25ADF"/>
    <w:rsid w:val="00B3184B"/>
    <w:rsid w:val="00B41DD2"/>
    <w:rsid w:val="00B516C4"/>
    <w:rsid w:val="00B52F15"/>
    <w:rsid w:val="00B54470"/>
    <w:rsid w:val="00B551B1"/>
    <w:rsid w:val="00B91BD6"/>
    <w:rsid w:val="00B94E7E"/>
    <w:rsid w:val="00B97C66"/>
    <w:rsid w:val="00BC0781"/>
    <w:rsid w:val="00BC0E03"/>
    <w:rsid w:val="00BC4AB5"/>
    <w:rsid w:val="00BD3538"/>
    <w:rsid w:val="00BE019D"/>
    <w:rsid w:val="00BE7ABA"/>
    <w:rsid w:val="00BF1FF0"/>
    <w:rsid w:val="00C001E2"/>
    <w:rsid w:val="00C02D9C"/>
    <w:rsid w:val="00C12677"/>
    <w:rsid w:val="00C238AC"/>
    <w:rsid w:val="00C2575F"/>
    <w:rsid w:val="00C349D3"/>
    <w:rsid w:val="00C42546"/>
    <w:rsid w:val="00C42AD2"/>
    <w:rsid w:val="00C44A7D"/>
    <w:rsid w:val="00C5069E"/>
    <w:rsid w:val="00C5404A"/>
    <w:rsid w:val="00C552D5"/>
    <w:rsid w:val="00C657ED"/>
    <w:rsid w:val="00C75325"/>
    <w:rsid w:val="00C760AE"/>
    <w:rsid w:val="00C84E20"/>
    <w:rsid w:val="00C91670"/>
    <w:rsid w:val="00C92278"/>
    <w:rsid w:val="00C928AC"/>
    <w:rsid w:val="00C931B8"/>
    <w:rsid w:val="00CB05F2"/>
    <w:rsid w:val="00CC139C"/>
    <w:rsid w:val="00CC4BA0"/>
    <w:rsid w:val="00CC5989"/>
    <w:rsid w:val="00CC6517"/>
    <w:rsid w:val="00CD0948"/>
    <w:rsid w:val="00CD4222"/>
    <w:rsid w:val="00CF66E3"/>
    <w:rsid w:val="00D0086B"/>
    <w:rsid w:val="00D00E51"/>
    <w:rsid w:val="00D035EF"/>
    <w:rsid w:val="00D1512F"/>
    <w:rsid w:val="00D1767E"/>
    <w:rsid w:val="00D34A33"/>
    <w:rsid w:val="00D47DAA"/>
    <w:rsid w:val="00D7081C"/>
    <w:rsid w:val="00D720B9"/>
    <w:rsid w:val="00DA4A2C"/>
    <w:rsid w:val="00DB6EF2"/>
    <w:rsid w:val="00DC44F7"/>
    <w:rsid w:val="00E445BF"/>
    <w:rsid w:val="00E52313"/>
    <w:rsid w:val="00E61F36"/>
    <w:rsid w:val="00E626B1"/>
    <w:rsid w:val="00E67964"/>
    <w:rsid w:val="00E731E5"/>
    <w:rsid w:val="00E83C0E"/>
    <w:rsid w:val="00E86392"/>
    <w:rsid w:val="00EA13FE"/>
    <w:rsid w:val="00EA5301"/>
    <w:rsid w:val="00EA5A8B"/>
    <w:rsid w:val="00EA6622"/>
    <w:rsid w:val="00EB21BC"/>
    <w:rsid w:val="00EE3390"/>
    <w:rsid w:val="00EE4648"/>
    <w:rsid w:val="00EF77F5"/>
    <w:rsid w:val="00F11C0C"/>
    <w:rsid w:val="00F2732A"/>
    <w:rsid w:val="00F460D6"/>
    <w:rsid w:val="00F47699"/>
    <w:rsid w:val="00F52730"/>
    <w:rsid w:val="00F5519E"/>
    <w:rsid w:val="00F638E6"/>
    <w:rsid w:val="00F67B1D"/>
    <w:rsid w:val="00F80CB1"/>
    <w:rsid w:val="00F97950"/>
    <w:rsid w:val="00FA3966"/>
    <w:rsid w:val="00FB1967"/>
    <w:rsid w:val="00FB1A81"/>
    <w:rsid w:val="00FB2FE4"/>
    <w:rsid w:val="00FC28D8"/>
    <w:rsid w:val="00FC4225"/>
    <w:rsid w:val="00FC62D4"/>
    <w:rsid w:val="00FE4AA7"/>
    <w:rsid w:val="00FF5454"/>
    <w:rsid w:val="5FBC4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widowControl/>
      <w:numPr>
        <w:ilvl w:val="0"/>
        <w:numId w:val="1"/>
      </w:numPr>
      <w:spacing w:before="120" w:after="120" w:line="560" w:lineRule="exact"/>
      <w:ind w:left="0"/>
      <w:jc w:val="center"/>
      <w:outlineLvl w:val="0"/>
    </w:pPr>
    <w:rPr>
      <w:rFonts w:ascii="宋体" w:hAnsi="宋体" w:eastAsia="宋体"/>
      <w:b/>
      <w:bCs/>
      <w:kern w:val="44"/>
      <w:sz w:val="44"/>
      <w:szCs w:val="44"/>
    </w:rPr>
  </w:style>
  <w:style w:type="paragraph" w:styleId="3">
    <w:name w:val="heading 2"/>
    <w:basedOn w:val="1"/>
    <w:next w:val="1"/>
    <w:link w:val="24"/>
    <w:unhideWhenUsed/>
    <w:qFormat/>
    <w:uiPriority w:val="9"/>
    <w:pPr>
      <w:keepNext/>
      <w:keepLines/>
      <w:widowControl/>
      <w:numPr>
        <w:ilvl w:val="1"/>
        <w:numId w:val="1"/>
      </w:numPr>
      <w:spacing w:line="560" w:lineRule="exact"/>
      <w:outlineLvl w:val="1"/>
    </w:pPr>
    <w:rPr>
      <w:rFonts w:ascii="Times New Roman" w:hAnsi="Times New Roman" w:eastAsia="宋体" w:cs="Times New Roman"/>
      <w:b/>
      <w:bCs/>
      <w:sz w:val="30"/>
      <w:szCs w:val="30"/>
    </w:rPr>
  </w:style>
  <w:style w:type="paragraph" w:styleId="4">
    <w:name w:val="heading 3"/>
    <w:basedOn w:val="1"/>
    <w:next w:val="1"/>
    <w:link w:val="25"/>
    <w:unhideWhenUsed/>
    <w:qFormat/>
    <w:uiPriority w:val="9"/>
    <w:pPr>
      <w:keepNext/>
      <w:keepLines/>
      <w:widowControl/>
      <w:numPr>
        <w:ilvl w:val="2"/>
        <w:numId w:val="1"/>
      </w:numPr>
      <w:spacing w:line="560" w:lineRule="exact"/>
      <w:outlineLvl w:val="2"/>
    </w:pPr>
    <w:rPr>
      <w:rFonts w:ascii="Times New Roman" w:hAnsi="Times New Roman" w:eastAsia="宋体" w:cs="Times New Roman"/>
      <w:b/>
      <w:sz w:val="28"/>
      <w:szCs w:val="28"/>
      <w14:scene3d w14:prst="orthographicFront">
        <w14:lightRig w14:rig="threePt" w14:dir="t">
          <w14:rot w14:lat="0" w14:lon="0" w14:rev="0"/>
        </w14:lightRig>
      </w14:scene3d>
    </w:rPr>
  </w:style>
  <w:style w:type="paragraph" w:styleId="5">
    <w:name w:val="heading 4"/>
    <w:basedOn w:val="1"/>
    <w:next w:val="1"/>
    <w:link w:val="26"/>
    <w:unhideWhenUsed/>
    <w:qFormat/>
    <w:uiPriority w:val="9"/>
    <w:pPr>
      <w:keepLines/>
      <w:numPr>
        <w:ilvl w:val="3"/>
        <w:numId w:val="1"/>
      </w:numPr>
      <w:spacing w:line="560" w:lineRule="exact"/>
      <w:jc w:val="left"/>
      <w:outlineLvl w:val="3"/>
    </w:pPr>
    <w:rPr>
      <w:rFonts w:ascii="Times New Roman" w:hAnsi="Times New Roman" w:eastAsia="宋体" w:cs="Times New Roman"/>
      <w:b/>
      <w:bCs/>
      <w:sz w:val="28"/>
      <w:szCs w:val="28"/>
    </w:rPr>
  </w:style>
  <w:style w:type="paragraph" w:styleId="6">
    <w:name w:val="heading 5"/>
    <w:basedOn w:val="1"/>
    <w:next w:val="1"/>
    <w:link w:val="27"/>
    <w:unhideWhenUsed/>
    <w:qFormat/>
    <w:uiPriority w:val="9"/>
    <w:pPr>
      <w:keepNext/>
      <w:keepLines/>
      <w:widowControl/>
      <w:numPr>
        <w:ilvl w:val="4"/>
        <w:numId w:val="1"/>
      </w:numPr>
      <w:spacing w:before="280" w:after="290" w:line="376" w:lineRule="auto"/>
      <w:jc w:val="left"/>
      <w:outlineLvl w:val="4"/>
    </w:pPr>
    <w:rPr>
      <w:rFonts w:ascii="Times New Roman" w:hAnsi="Times New Roman"/>
      <w:b/>
      <w:bCs/>
      <w:sz w:val="28"/>
      <w:szCs w:val="28"/>
    </w:rPr>
  </w:style>
  <w:style w:type="paragraph" w:styleId="7">
    <w:name w:val="heading 6"/>
    <w:basedOn w:val="1"/>
    <w:next w:val="1"/>
    <w:link w:val="28"/>
    <w:semiHidden/>
    <w:unhideWhenUsed/>
    <w:qFormat/>
    <w:uiPriority w:val="9"/>
    <w:pPr>
      <w:keepNext/>
      <w:keepLines/>
      <w:widowControl/>
      <w:numPr>
        <w:ilvl w:val="5"/>
        <w:numId w:val="1"/>
      </w:numPr>
      <w:spacing w:before="240" w:after="64" w:line="320" w:lineRule="auto"/>
      <w:jc w:val="left"/>
      <w:outlineLvl w:val="5"/>
    </w:pPr>
    <w:rPr>
      <w:rFonts w:asciiTheme="majorHAnsi" w:hAnsiTheme="majorHAnsi" w:eastAsiaTheme="majorEastAsia" w:cstheme="majorBidi"/>
      <w:b/>
      <w:bCs/>
      <w:sz w:val="24"/>
      <w:szCs w:val="24"/>
    </w:rPr>
  </w:style>
  <w:style w:type="paragraph" w:styleId="8">
    <w:name w:val="heading 7"/>
    <w:basedOn w:val="1"/>
    <w:next w:val="1"/>
    <w:link w:val="29"/>
    <w:semiHidden/>
    <w:unhideWhenUsed/>
    <w:qFormat/>
    <w:uiPriority w:val="9"/>
    <w:pPr>
      <w:keepNext/>
      <w:keepLines/>
      <w:widowControl/>
      <w:numPr>
        <w:ilvl w:val="6"/>
        <w:numId w:val="1"/>
      </w:numPr>
      <w:spacing w:before="240" w:after="64" w:line="320" w:lineRule="auto"/>
      <w:jc w:val="left"/>
      <w:outlineLvl w:val="6"/>
    </w:pPr>
    <w:rPr>
      <w:rFonts w:ascii="Times New Roman" w:hAnsi="Times New Roman"/>
      <w:b/>
      <w:bCs/>
      <w:sz w:val="24"/>
      <w:szCs w:val="24"/>
    </w:rPr>
  </w:style>
  <w:style w:type="paragraph" w:styleId="9">
    <w:name w:val="heading 8"/>
    <w:basedOn w:val="1"/>
    <w:next w:val="1"/>
    <w:link w:val="30"/>
    <w:semiHidden/>
    <w:unhideWhenUsed/>
    <w:qFormat/>
    <w:uiPriority w:val="9"/>
    <w:pPr>
      <w:keepNext/>
      <w:keepLines/>
      <w:widowControl/>
      <w:numPr>
        <w:ilvl w:val="7"/>
        <w:numId w:val="1"/>
      </w:numPr>
      <w:spacing w:before="240" w:after="64" w:line="320" w:lineRule="auto"/>
      <w:jc w:val="left"/>
      <w:outlineLvl w:val="7"/>
    </w:pPr>
    <w:rPr>
      <w:rFonts w:asciiTheme="majorHAnsi" w:hAnsiTheme="majorHAnsi" w:eastAsiaTheme="majorEastAsia" w:cstheme="majorBidi"/>
      <w:sz w:val="24"/>
      <w:szCs w:val="24"/>
    </w:rPr>
  </w:style>
  <w:style w:type="paragraph" w:styleId="10">
    <w:name w:val="heading 9"/>
    <w:basedOn w:val="1"/>
    <w:next w:val="1"/>
    <w:link w:val="31"/>
    <w:semiHidden/>
    <w:unhideWhenUsed/>
    <w:qFormat/>
    <w:uiPriority w:val="9"/>
    <w:pPr>
      <w:keepNext/>
      <w:keepLines/>
      <w:widowControl/>
      <w:numPr>
        <w:ilvl w:val="8"/>
        <w:numId w:val="1"/>
      </w:numPr>
      <w:spacing w:before="240" w:after="64" w:line="320" w:lineRule="auto"/>
      <w:jc w:val="left"/>
      <w:outlineLvl w:val="8"/>
    </w:pPr>
    <w:rPr>
      <w:rFonts w:asciiTheme="majorHAnsi" w:hAnsiTheme="majorHAnsi" w:eastAsiaTheme="majorEastAsia" w:cstheme="majorBidi"/>
      <w:sz w:val="28"/>
      <w:szCs w:val="21"/>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2"/>
    <w:semiHidden/>
    <w:unhideWhenUsed/>
    <w:qFormat/>
    <w:uiPriority w:val="99"/>
    <w:pPr>
      <w:jc w:val="left"/>
    </w:pPr>
  </w:style>
  <w:style w:type="paragraph" w:styleId="12">
    <w:name w:val="Balloon Text"/>
    <w:basedOn w:val="1"/>
    <w:link w:val="34"/>
    <w:semiHidden/>
    <w:unhideWhenUsed/>
    <w:qFormat/>
    <w:uiPriority w:val="99"/>
    <w:rPr>
      <w:sz w:val="18"/>
      <w:szCs w:val="18"/>
    </w:r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11"/>
    <w:next w:val="11"/>
    <w:link w:val="33"/>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semiHidden/>
    <w:unhideWhenUsed/>
    <w:qFormat/>
    <w:uiPriority w:val="99"/>
    <w:rPr>
      <w:sz w:val="21"/>
      <w:szCs w:val="21"/>
    </w:rPr>
  </w:style>
  <w:style w:type="paragraph" w:styleId="20">
    <w:name w:val="List Paragraph"/>
    <w:basedOn w:val="1"/>
    <w:qFormat/>
    <w:uiPriority w:val="34"/>
    <w:pPr>
      <w:ind w:firstLine="420" w:firstLineChars="200"/>
    </w:pPr>
  </w:style>
  <w:style w:type="character" w:customStyle="1" w:styleId="21">
    <w:name w:val="页眉 Char"/>
    <w:basedOn w:val="18"/>
    <w:link w:val="14"/>
    <w:qFormat/>
    <w:uiPriority w:val="99"/>
    <w:rPr>
      <w:sz w:val="18"/>
      <w:szCs w:val="18"/>
    </w:rPr>
  </w:style>
  <w:style w:type="character" w:customStyle="1" w:styleId="22">
    <w:name w:val="页脚 Char"/>
    <w:basedOn w:val="18"/>
    <w:link w:val="13"/>
    <w:qFormat/>
    <w:uiPriority w:val="99"/>
    <w:rPr>
      <w:sz w:val="18"/>
      <w:szCs w:val="18"/>
    </w:rPr>
  </w:style>
  <w:style w:type="character" w:customStyle="1" w:styleId="23">
    <w:name w:val="标题 1 Char"/>
    <w:basedOn w:val="18"/>
    <w:link w:val="2"/>
    <w:qFormat/>
    <w:uiPriority w:val="9"/>
    <w:rPr>
      <w:rFonts w:ascii="宋体" w:hAnsi="宋体" w:eastAsia="宋体"/>
      <w:b/>
      <w:bCs/>
      <w:kern w:val="44"/>
      <w:sz w:val="44"/>
      <w:szCs w:val="44"/>
    </w:rPr>
  </w:style>
  <w:style w:type="character" w:customStyle="1" w:styleId="24">
    <w:name w:val="标题 2 Char"/>
    <w:basedOn w:val="18"/>
    <w:link w:val="3"/>
    <w:qFormat/>
    <w:uiPriority w:val="9"/>
    <w:rPr>
      <w:rFonts w:ascii="Times New Roman" w:hAnsi="Times New Roman" w:eastAsia="宋体" w:cs="Times New Roman"/>
      <w:b/>
      <w:bCs/>
      <w:sz w:val="30"/>
      <w:szCs w:val="30"/>
    </w:rPr>
  </w:style>
  <w:style w:type="character" w:customStyle="1" w:styleId="25">
    <w:name w:val="标题 3 Char"/>
    <w:basedOn w:val="18"/>
    <w:link w:val="4"/>
    <w:qFormat/>
    <w:uiPriority w:val="9"/>
    <w:rPr>
      <w:rFonts w:ascii="Times New Roman" w:hAnsi="Times New Roman" w:eastAsia="宋体" w:cs="Times New Roman"/>
      <w:b/>
      <w:sz w:val="28"/>
      <w:szCs w:val="28"/>
      <w14:scene3d w14:prst="orthographicFront">
        <w14:lightRig w14:rig="threePt" w14:dir="t">
          <w14:rot w14:lat="0" w14:lon="0" w14:rev="0"/>
        </w14:lightRig>
      </w14:scene3d>
    </w:rPr>
  </w:style>
  <w:style w:type="character" w:customStyle="1" w:styleId="26">
    <w:name w:val="标题 4 Char"/>
    <w:basedOn w:val="18"/>
    <w:link w:val="5"/>
    <w:qFormat/>
    <w:uiPriority w:val="9"/>
    <w:rPr>
      <w:rFonts w:ascii="Times New Roman" w:hAnsi="Times New Roman" w:eastAsia="宋体" w:cs="Times New Roman"/>
      <w:b/>
      <w:bCs/>
      <w:sz w:val="28"/>
      <w:szCs w:val="28"/>
    </w:rPr>
  </w:style>
  <w:style w:type="character" w:customStyle="1" w:styleId="27">
    <w:name w:val="标题 5 Char"/>
    <w:basedOn w:val="18"/>
    <w:link w:val="6"/>
    <w:qFormat/>
    <w:uiPriority w:val="9"/>
    <w:rPr>
      <w:rFonts w:ascii="Times New Roman" w:hAnsi="Times New Roman"/>
      <w:b/>
      <w:bCs/>
      <w:sz w:val="28"/>
      <w:szCs w:val="28"/>
    </w:rPr>
  </w:style>
  <w:style w:type="character" w:customStyle="1" w:styleId="28">
    <w:name w:val="标题 6 Char"/>
    <w:basedOn w:val="18"/>
    <w:link w:val="7"/>
    <w:semiHidden/>
    <w:qFormat/>
    <w:uiPriority w:val="9"/>
    <w:rPr>
      <w:rFonts w:asciiTheme="majorHAnsi" w:hAnsiTheme="majorHAnsi" w:eastAsiaTheme="majorEastAsia" w:cstheme="majorBidi"/>
      <w:b/>
      <w:bCs/>
      <w:sz w:val="24"/>
      <w:szCs w:val="24"/>
    </w:rPr>
  </w:style>
  <w:style w:type="character" w:customStyle="1" w:styleId="29">
    <w:name w:val="标题 7 Char"/>
    <w:basedOn w:val="18"/>
    <w:link w:val="8"/>
    <w:semiHidden/>
    <w:uiPriority w:val="9"/>
    <w:rPr>
      <w:rFonts w:ascii="Times New Roman" w:hAnsi="Times New Roman"/>
      <w:b/>
      <w:bCs/>
      <w:sz w:val="24"/>
      <w:szCs w:val="24"/>
    </w:rPr>
  </w:style>
  <w:style w:type="character" w:customStyle="1" w:styleId="30">
    <w:name w:val="标题 8 Char"/>
    <w:basedOn w:val="18"/>
    <w:link w:val="9"/>
    <w:semiHidden/>
    <w:uiPriority w:val="9"/>
    <w:rPr>
      <w:rFonts w:asciiTheme="majorHAnsi" w:hAnsiTheme="majorHAnsi" w:eastAsiaTheme="majorEastAsia" w:cstheme="majorBidi"/>
      <w:sz w:val="24"/>
      <w:szCs w:val="24"/>
    </w:rPr>
  </w:style>
  <w:style w:type="character" w:customStyle="1" w:styleId="31">
    <w:name w:val="标题 9 Char"/>
    <w:basedOn w:val="18"/>
    <w:link w:val="10"/>
    <w:semiHidden/>
    <w:uiPriority w:val="9"/>
    <w:rPr>
      <w:rFonts w:asciiTheme="majorHAnsi" w:hAnsiTheme="majorHAnsi" w:eastAsiaTheme="majorEastAsia" w:cstheme="majorBidi"/>
      <w:sz w:val="28"/>
      <w:szCs w:val="21"/>
    </w:rPr>
  </w:style>
  <w:style w:type="character" w:customStyle="1" w:styleId="32">
    <w:name w:val="批注文字 Char"/>
    <w:basedOn w:val="18"/>
    <w:link w:val="11"/>
    <w:semiHidden/>
    <w:qFormat/>
    <w:uiPriority w:val="99"/>
  </w:style>
  <w:style w:type="character" w:customStyle="1" w:styleId="33">
    <w:name w:val="批注主题 Char"/>
    <w:basedOn w:val="32"/>
    <w:link w:val="15"/>
    <w:semiHidden/>
    <w:qFormat/>
    <w:uiPriority w:val="99"/>
    <w:rPr>
      <w:b/>
      <w:bCs/>
    </w:rPr>
  </w:style>
  <w:style w:type="character" w:customStyle="1" w:styleId="34">
    <w:name w:val="批注框文本 Char"/>
    <w:basedOn w:val="18"/>
    <w:link w:val="1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F15D2-DA63-42C5-BD78-11C48F94E279}">
  <ds:schemaRefs/>
</ds:datastoreItem>
</file>

<file path=customXml/itemProps3.xml><?xml version="1.0" encoding="utf-8"?>
<ds:datastoreItem xmlns:ds="http://schemas.openxmlformats.org/officeDocument/2006/customXml" ds:itemID="{9442A82F-68BB-4B58-BEB2-A88BCBE1F781}">
  <ds:schemaRefs/>
</ds:datastoreItem>
</file>

<file path=customXml/itemProps4.xml><?xml version="1.0" encoding="utf-8"?>
<ds:datastoreItem xmlns:ds="http://schemas.openxmlformats.org/officeDocument/2006/customXml" ds:itemID="{B38F2CC1-AA67-49F7-9D48-55ADB6EB3210}">
  <ds:schemaRefs/>
</ds:datastoreItem>
</file>

<file path=customXml/itemProps5.xml><?xml version="1.0" encoding="utf-8"?>
<ds:datastoreItem xmlns:ds="http://schemas.openxmlformats.org/officeDocument/2006/customXml" ds:itemID="{4A9BD524-5A9D-40E1-A152-4EC951A2421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362</Words>
  <Characters>2068</Characters>
  <Lines>17</Lines>
  <Paragraphs>4</Paragraphs>
  <TotalTime>148</TotalTime>
  <ScaleCrop>false</ScaleCrop>
  <LinksUpToDate>false</LinksUpToDate>
  <CharactersWithSpaces>2426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2019-11-04T08:08:00Z</dcterms:created>
  <dc:creator>jiec</dc:creator>
  <cp:lastModifiedBy>原青1426759073</cp:lastModifiedBy>
  <dcterms:modified xsi:type="dcterms:W3CDTF">2020-04-03T06:54:51Z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ProductBuildVer">
    <vt:lpwstr>2052-11.1.0.9584</vt:lpwstr>
  </property>
</Properties>
</file>