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ind w:left="-420" w:leftChars="-200" w:right="-420" w:rightChars="-200"/>
        <w:jc w:val="center"/>
        <w:rPr>
          <w:rFonts w:ascii="Times New Roman" w:hAnsi="Times New Roman" w:eastAsia="方正小标宋简体" w:cs="Times New Roman"/>
          <w:b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/>
          <w:sz w:val="40"/>
          <w:szCs w:val="40"/>
        </w:rPr>
        <w:t>深市期权投教丨</w:t>
      </w:r>
      <w:r>
        <w:rPr>
          <w:rFonts w:ascii="Times New Roman" w:hAnsi="Times New Roman" w:eastAsia="方正小标宋简体" w:cs="Times New Roman"/>
          <w:b/>
          <w:sz w:val="40"/>
          <w:szCs w:val="40"/>
        </w:rPr>
        <w:t>分析期权的价值与价格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ind w:firstLine="56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方正仿宋简体" w:cs="Times New Roman"/>
          <w:kern w:val="0"/>
          <w:sz w:val="28"/>
        </w:rPr>
        <w:t>期权之所以有价值，是因为买入期权，便拥有了在约定的时间以约定的价格买入或卖出标的资产的权利。拥有了这种权利，便有可能以</w:t>
      </w:r>
      <w:r>
        <w:rPr>
          <w:rFonts w:hint="eastAsia" w:ascii="Times New Roman" w:hAnsi="Times New Roman" w:eastAsia="方正仿宋简体" w:cs="Times New Roman"/>
          <w:kern w:val="0"/>
          <w:sz w:val="28"/>
        </w:rPr>
        <w:t>优于</w:t>
      </w:r>
      <w:r>
        <w:rPr>
          <w:rFonts w:ascii="Times New Roman" w:hAnsi="Times New Roman" w:eastAsia="方正仿宋简体" w:cs="Times New Roman"/>
          <w:kern w:val="0"/>
          <w:sz w:val="28"/>
        </w:rPr>
        <w:t>市场价的价格买卖标的资产。为了获得这种权利，买方需支付一定的权利金，也就是期权的价格。那么，期权价值和价格分别受到哪些因素的影响？期权价值与价格的关系又是怎样的？让我们一起来看看吧！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一、期权的价值组成：内在价值与时间价值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为了更好地理解期权的价值组成，我们可以先看一个小例子。2月份，小杨发现</w:t>
      </w:r>
      <w:r>
        <w:rPr>
          <w:rFonts w:hint="eastAsia" w:ascii="Times New Roman" w:hAnsi="Times New Roman" w:eastAsia="方正仿宋简体" w:cs="Times New Roman"/>
          <w:sz w:val="28"/>
        </w:rPr>
        <w:t>某ETF</w:t>
      </w:r>
      <w:r>
        <w:rPr>
          <w:rFonts w:ascii="Times New Roman" w:hAnsi="Times New Roman" w:eastAsia="方正仿宋简体" w:cs="Times New Roman"/>
          <w:sz w:val="28"/>
        </w:rPr>
        <w:t>的价格为</w:t>
      </w:r>
      <w:r>
        <w:rPr>
          <w:rFonts w:hint="eastAsia" w:ascii="Times New Roman" w:hAnsi="Times New Roman" w:eastAsia="方正仿宋简体" w:cs="Times New Roman"/>
          <w:sz w:val="28"/>
        </w:rPr>
        <w:t>4</w:t>
      </w:r>
      <w:r>
        <w:rPr>
          <w:rFonts w:ascii="Times New Roman" w:hAnsi="Times New Roman" w:eastAsia="方正仿宋简体" w:cs="Times New Roman"/>
          <w:sz w:val="28"/>
        </w:rPr>
        <w:t>元，行权价为</w:t>
      </w:r>
      <w:r>
        <w:rPr>
          <w:rFonts w:hint="eastAsia" w:ascii="Times New Roman" w:hAnsi="Times New Roman" w:eastAsia="方正仿宋简体" w:cs="Times New Roman"/>
          <w:sz w:val="28"/>
        </w:rPr>
        <w:t>3</w:t>
      </w:r>
      <w:r>
        <w:rPr>
          <w:rFonts w:ascii="Times New Roman" w:hAnsi="Times New Roman" w:eastAsia="方正仿宋简体" w:cs="Times New Roman"/>
          <w:sz w:val="28"/>
        </w:rPr>
        <w:t>元的3月期</w:t>
      </w:r>
      <w:r>
        <w:rPr>
          <w:rFonts w:hint="eastAsia" w:ascii="Times New Roman" w:hAnsi="Times New Roman" w:eastAsia="方正仿宋简体" w:cs="Times New Roman"/>
          <w:sz w:val="28"/>
        </w:rPr>
        <w:t>该ETF</w:t>
      </w:r>
      <w:r>
        <w:rPr>
          <w:rFonts w:ascii="Times New Roman" w:hAnsi="Times New Roman" w:eastAsia="方正仿宋简体" w:cs="Times New Roman"/>
          <w:sz w:val="28"/>
        </w:rPr>
        <w:t>认购期权价格为</w:t>
      </w:r>
      <w:r>
        <w:rPr>
          <w:rFonts w:hint="eastAsia" w:ascii="Times New Roman" w:hAnsi="Times New Roman" w:eastAsia="方正仿宋简体" w:cs="Times New Roman"/>
          <w:sz w:val="28"/>
        </w:rPr>
        <w:t>2</w:t>
      </w:r>
      <w:r>
        <w:rPr>
          <w:rFonts w:ascii="Times New Roman" w:hAnsi="Times New Roman" w:eastAsia="方正仿宋简体" w:cs="Times New Roman"/>
          <w:sz w:val="28"/>
        </w:rPr>
        <w:t>元。若此时行权，那小杨只能获利</w:t>
      </w:r>
      <w:r>
        <w:rPr>
          <w:rFonts w:hint="eastAsia" w:ascii="Times New Roman" w:hAnsi="Times New Roman" w:eastAsia="方正仿宋简体" w:cs="Times New Roman"/>
          <w:sz w:val="28"/>
        </w:rPr>
        <w:t>1</w:t>
      </w:r>
      <w:r>
        <w:rPr>
          <w:rFonts w:ascii="Times New Roman" w:hAnsi="Times New Roman" w:eastAsia="方正仿宋简体" w:cs="Times New Roman"/>
          <w:sz w:val="28"/>
        </w:rPr>
        <w:t>元，却要支付</w:t>
      </w:r>
      <w:r>
        <w:rPr>
          <w:rFonts w:hint="eastAsia" w:ascii="Times New Roman" w:hAnsi="Times New Roman" w:eastAsia="方正仿宋简体" w:cs="Times New Roman"/>
          <w:sz w:val="28"/>
        </w:rPr>
        <w:t>2</w:t>
      </w:r>
      <w:r>
        <w:rPr>
          <w:rFonts w:ascii="Times New Roman" w:hAnsi="Times New Roman" w:eastAsia="方正仿宋简体" w:cs="Times New Roman"/>
          <w:sz w:val="28"/>
        </w:rPr>
        <w:t>元的权利金买入该期权，这是为什么呢？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这是因为期权价值由内在价值和时间价值组成，直观的表示是：</w:t>
      </w:r>
    </w:p>
    <w:p>
      <w:pPr>
        <w:jc w:val="center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drawing>
          <wp:inline distT="0" distB="0" distL="0" distR="0">
            <wp:extent cx="5083175" cy="829945"/>
            <wp:effectExtent l="0" t="57150" r="0" b="122555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b/>
          <w:sz w:val="28"/>
        </w:rPr>
        <w:t>内在价值</w:t>
      </w:r>
      <w:r>
        <w:rPr>
          <w:rFonts w:ascii="Times New Roman" w:hAnsi="Times New Roman" w:eastAsia="方正仿宋简体" w:cs="Times New Roman"/>
          <w:sz w:val="28"/>
        </w:rPr>
        <w:t>由期权的行权价格与标的资产价格的关系决定，表示</w:t>
      </w:r>
      <w:r>
        <w:rPr>
          <w:rFonts w:hint="eastAsia" w:ascii="Times New Roman" w:hAnsi="Times New Roman" w:eastAsia="方正仿宋简体" w:cs="Times New Roman"/>
          <w:sz w:val="28"/>
        </w:rPr>
        <w:t>期权买方立即行权时所能获得的收益</w:t>
      </w:r>
      <w:r>
        <w:rPr>
          <w:rFonts w:ascii="Times New Roman" w:hAnsi="Times New Roman" w:eastAsia="方正仿宋简体" w:cs="Times New Roman"/>
          <w:sz w:val="28"/>
        </w:rPr>
        <w:t>。内在价值只能为正数或零。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上例中，4元</w:t>
      </w:r>
      <w:r>
        <w:rPr>
          <w:rFonts w:hint="eastAsia" w:ascii="Times New Roman" w:hAnsi="Times New Roman" w:eastAsia="方正仿宋简体" w:cs="Times New Roman"/>
          <w:sz w:val="28"/>
        </w:rPr>
        <w:t>某ETF</w:t>
      </w:r>
      <w:r>
        <w:rPr>
          <w:rFonts w:ascii="Times New Roman" w:hAnsi="Times New Roman" w:eastAsia="方正仿宋简体" w:cs="Times New Roman"/>
          <w:sz w:val="28"/>
        </w:rPr>
        <w:t>的市场价格与</w:t>
      </w:r>
      <w:r>
        <w:rPr>
          <w:rFonts w:hint="eastAsia" w:ascii="Times New Roman" w:hAnsi="Times New Roman" w:eastAsia="方正仿宋简体" w:cs="Times New Roman"/>
          <w:sz w:val="28"/>
        </w:rPr>
        <w:t>3</w:t>
      </w:r>
      <w:r>
        <w:rPr>
          <w:rFonts w:ascii="Times New Roman" w:hAnsi="Times New Roman" w:eastAsia="方正仿宋简体" w:cs="Times New Roman"/>
          <w:sz w:val="28"/>
        </w:rPr>
        <w:t>元认购期权的行权价之差就是该期权的内在价值，为</w:t>
      </w:r>
      <w:r>
        <w:rPr>
          <w:rFonts w:hint="eastAsia" w:ascii="Times New Roman" w:hAnsi="Times New Roman" w:eastAsia="方正仿宋简体" w:cs="Times New Roman"/>
          <w:sz w:val="28"/>
        </w:rPr>
        <w:t>1</w:t>
      </w:r>
      <w:r>
        <w:rPr>
          <w:rFonts w:ascii="Times New Roman" w:hAnsi="Times New Roman" w:eastAsia="方正仿宋简体" w:cs="Times New Roman"/>
          <w:sz w:val="28"/>
        </w:rPr>
        <w:t>元，代表小杨若立刻行权所能获得的</w:t>
      </w:r>
      <w:r>
        <w:rPr>
          <w:rFonts w:hint="eastAsia" w:ascii="Times New Roman" w:hAnsi="Times New Roman" w:eastAsia="方正仿宋简体" w:cs="Times New Roman"/>
          <w:sz w:val="28"/>
        </w:rPr>
        <w:t>收益</w:t>
      </w:r>
      <w:r>
        <w:rPr>
          <w:rFonts w:ascii="Times New Roman" w:hAnsi="Times New Roman" w:eastAsia="方正仿宋简体" w:cs="Times New Roman"/>
          <w:sz w:val="28"/>
        </w:rPr>
        <w:t>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b/>
          <w:sz w:val="28"/>
        </w:rPr>
        <w:t>时间价值</w:t>
      </w:r>
      <w:r>
        <w:rPr>
          <w:rFonts w:ascii="Times New Roman" w:hAnsi="Times New Roman" w:eastAsia="方正仿宋简体" w:cs="Times New Roman"/>
          <w:sz w:val="28"/>
        </w:rPr>
        <w:t>是指标的价格随时间的变动有可能使期权增值</w:t>
      </w:r>
      <w:r>
        <w:rPr>
          <w:rFonts w:hint="eastAsia" w:ascii="Times New Roman" w:hAnsi="Times New Roman" w:eastAsia="方正仿宋简体" w:cs="Times New Roman"/>
          <w:sz w:val="28"/>
        </w:rPr>
        <w:t>、</w:t>
      </w:r>
      <w:r>
        <w:rPr>
          <w:rFonts w:ascii="Times New Roman" w:hAnsi="Times New Roman" w:eastAsia="方正仿宋简体" w:cs="Times New Roman"/>
          <w:sz w:val="28"/>
        </w:rPr>
        <w:t>期权买方愿意为这部分价值付出的溢价，它是期权价格超出内在价值的部分。当期权剩余的有效时间越短，买方获利的可能性就越小，卖方所需承担的风险也越小，期权的时间价值也就越小。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上例中，时间价值就是</w:t>
      </w:r>
      <w:r>
        <w:rPr>
          <w:rFonts w:hint="eastAsia" w:ascii="Times New Roman" w:hAnsi="Times New Roman" w:eastAsia="方正仿宋简体" w:cs="Times New Roman"/>
          <w:sz w:val="28"/>
        </w:rPr>
        <w:t>2</w:t>
      </w:r>
      <w:r>
        <w:rPr>
          <w:rFonts w:ascii="Times New Roman" w:hAnsi="Times New Roman" w:eastAsia="方正仿宋简体" w:cs="Times New Roman"/>
          <w:sz w:val="28"/>
        </w:rPr>
        <w:t>元认购期权价格与</w:t>
      </w:r>
      <w:r>
        <w:rPr>
          <w:rFonts w:hint="eastAsia" w:ascii="Times New Roman" w:hAnsi="Times New Roman" w:eastAsia="方正仿宋简体" w:cs="Times New Roman"/>
          <w:sz w:val="28"/>
        </w:rPr>
        <w:t>1</w:t>
      </w:r>
      <w:r>
        <w:rPr>
          <w:rFonts w:ascii="Times New Roman" w:hAnsi="Times New Roman" w:eastAsia="方正仿宋简体" w:cs="Times New Roman"/>
          <w:sz w:val="28"/>
        </w:rPr>
        <w:t>元内在价值的差值，为1元，它是小杨为获得可能的更高收益所支付的溢价。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二、期权的价格：体现为合约权利金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期权价格是期权买方购买期权时向期权卖方支付的费用，即期权合约的权利金。例如，小陈在深交所买入嘉实沪深300ETF股票期权，合约单位为10,000份，买入时，一份ETF期权对应的权利金为2元，则小陈买入这张ETF期权合约支付的权利金为2元×10,000份=20,000元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三、影响期权价格的因素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期权价格受众多因素影响，主要有：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b/>
          <w:sz w:val="28"/>
        </w:rPr>
      </w:pPr>
      <w:r>
        <w:rPr>
          <w:rFonts w:ascii="Times New Roman" w:hAnsi="Times New Roman" w:eastAsia="方正仿宋简体" w:cs="Times New Roman"/>
          <w:b/>
          <w:sz w:val="28"/>
        </w:rPr>
        <w:t>（一）行权价格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行权价格通过影响期权内在价值来影响期权价格，即影响的是行权价和标的资产的市场价格之间的价差。行权价格越高，认购期权的价格越低，认沽期权的价格越高。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例如，行权价为4元的认购期权比行权价为3元的认购期权更便宜。因为对于认购期权，当行权价格越高，标的资产的市场价格大于行权价格的可能性越小，认购期权成为实值期权的可能性或实值的程度越小，内在价值越小，因此认购期权价格越低；而行权价为4元的认沽期权比行权价为3元的认沽期权更贵。因为对于认沽期权，行权价格越高，行权价格高于标的市场价格的可能性越大，认沽期权成为实值期权的可能性或实值的程度越大，内在价值越大，因此认沽期权的价格越高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b/>
          <w:sz w:val="28"/>
        </w:rPr>
      </w:pPr>
      <w:r>
        <w:rPr>
          <w:rFonts w:ascii="Times New Roman" w:hAnsi="Times New Roman" w:eastAsia="方正仿宋简体" w:cs="Times New Roman"/>
          <w:b/>
          <w:sz w:val="28"/>
        </w:rPr>
        <w:t>（二）标的资产价格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由于期权内在价值同时受行权价格与标的资产价格的影响，若行权价格保持不变，标的资产价格越高，认购期权的价格越高，认沽期权的价格越低。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例如，当标的资产价格从3元上涨至4元，认购期权价格将上涨，因为认购期权成为实值期权的可能性越大，或实值的程度越大，其内在价值随之增大；而认沽期权价格将下跌，因为认沽期权成为实值期权的可能性越小，或实值的程度越小，其内在价值随之减少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b/>
          <w:sz w:val="28"/>
        </w:rPr>
      </w:pPr>
      <w:r>
        <w:rPr>
          <w:rFonts w:ascii="Times New Roman" w:hAnsi="Times New Roman" w:eastAsia="方正仿宋简体" w:cs="Times New Roman"/>
          <w:b/>
          <w:sz w:val="28"/>
        </w:rPr>
        <w:t>（三）期权到期日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期权到期日与期权价格呈同方向变化。当期权合约的剩余时间越长，意味着标的资产价格波动的不确定性越大，期权买方获利的可能性越大，同时期权卖方需承担的风险也越大。因此，认购期权和认沽期权的价格都会越高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也可从时间价值的角度来看，期权的时间价值会随时间流逝而减少，直至到期日时减少至零。因此，距离到期日的时间越长，期权价格越高。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b/>
          <w:sz w:val="28"/>
        </w:rPr>
      </w:pPr>
      <w:r>
        <w:rPr>
          <w:rFonts w:ascii="Times New Roman" w:hAnsi="Times New Roman" w:eastAsia="方正仿宋简体" w:cs="Times New Roman"/>
          <w:b/>
          <w:sz w:val="28"/>
        </w:rPr>
        <w:t>（四）标的预期波动率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标的预期波动率越高，意味着标的资产价格变动的可能性就越大，期权合约成为实值期权的可能性就越大，因此期权价格越高。它与期权价格同方向变动。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b/>
          <w:sz w:val="28"/>
        </w:rPr>
      </w:pPr>
      <w:r>
        <w:rPr>
          <w:rFonts w:ascii="Times New Roman" w:hAnsi="Times New Roman" w:eastAsia="方正仿宋简体" w:cs="Times New Roman"/>
          <w:b/>
          <w:sz w:val="28"/>
        </w:rPr>
        <w:t>（五）市场无风险利率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市场无风险利率通常体现为短期国债的利率，它通过影响投资者的持有成本来影响期权的价格。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我们假设投资者以借贷资金持有标的</w:t>
      </w:r>
      <w:r>
        <w:rPr>
          <w:rFonts w:hint="eastAsia" w:ascii="Times New Roman" w:hAnsi="Times New Roman" w:eastAsia="方正仿宋简体" w:cs="Times New Roman"/>
          <w:sz w:val="28"/>
        </w:rPr>
        <w:t>资产</w:t>
      </w:r>
      <w:r>
        <w:rPr>
          <w:rFonts w:ascii="Times New Roman" w:hAnsi="Times New Roman" w:eastAsia="方正仿宋简体" w:cs="Times New Roman"/>
          <w:sz w:val="28"/>
        </w:rPr>
        <w:t>和期权，利率上升导致融资成本增加，为弥补这项成本，就必须增加持仓收益或减少持仓成本。因此，当市场无风险利率越高，认购期权卖方为弥补持有标的</w:t>
      </w:r>
      <w:r>
        <w:rPr>
          <w:rFonts w:hint="eastAsia" w:ascii="Times New Roman" w:hAnsi="Times New Roman" w:eastAsia="方正仿宋简体" w:cs="Times New Roman"/>
          <w:sz w:val="28"/>
        </w:rPr>
        <w:t>资产</w:t>
      </w:r>
      <w:r>
        <w:rPr>
          <w:rFonts w:ascii="Times New Roman" w:hAnsi="Times New Roman" w:eastAsia="方正仿宋简体" w:cs="Times New Roman"/>
          <w:sz w:val="28"/>
        </w:rPr>
        <w:t>成本的上升，将以更高的价格出售认购期权；同理，认沽期权买方将以更低的价格买入认沽期权。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b/>
          <w:sz w:val="28"/>
        </w:rPr>
      </w:pPr>
      <w:r>
        <w:rPr>
          <w:rFonts w:ascii="Times New Roman" w:hAnsi="Times New Roman" w:eastAsia="方正仿宋简体" w:cs="Times New Roman"/>
          <w:b/>
          <w:sz w:val="28"/>
        </w:rPr>
        <w:t>（六）标的</w:t>
      </w:r>
      <w:r>
        <w:rPr>
          <w:rFonts w:hint="eastAsia" w:ascii="Times New Roman" w:hAnsi="Times New Roman" w:eastAsia="方正仿宋简体" w:cs="Times New Roman"/>
          <w:b/>
          <w:sz w:val="28"/>
        </w:rPr>
        <w:t>资产</w:t>
      </w:r>
      <w:r>
        <w:rPr>
          <w:rFonts w:ascii="Times New Roman" w:hAnsi="Times New Roman" w:eastAsia="方正仿宋简体" w:cs="Times New Roman"/>
          <w:b/>
          <w:sz w:val="28"/>
        </w:rPr>
        <w:t>分红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其他条件不变的情况下，标的</w:t>
      </w:r>
      <w:r>
        <w:rPr>
          <w:rFonts w:hint="eastAsia" w:ascii="Times New Roman" w:hAnsi="Times New Roman" w:eastAsia="方正仿宋简体" w:cs="Times New Roman"/>
          <w:sz w:val="28"/>
        </w:rPr>
        <w:t>资产</w:t>
      </w:r>
      <w:r>
        <w:rPr>
          <w:rFonts w:ascii="Times New Roman" w:hAnsi="Times New Roman" w:eastAsia="方正仿宋简体" w:cs="Times New Roman"/>
          <w:sz w:val="28"/>
        </w:rPr>
        <w:t>分红越高，认购期权价格越低，认沽期权价格越高。这如何理解呢？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投资者若持有</w:t>
      </w:r>
      <w:r>
        <w:rPr>
          <w:rFonts w:hint="eastAsia" w:ascii="Times New Roman" w:hAnsi="Times New Roman" w:eastAsia="方正仿宋简体" w:cs="Times New Roman"/>
          <w:sz w:val="28"/>
        </w:rPr>
        <w:t>个股、ETF等标的</w:t>
      </w:r>
      <w:r>
        <w:rPr>
          <w:rFonts w:ascii="Times New Roman" w:hAnsi="Times New Roman" w:eastAsia="方正仿宋简体" w:cs="Times New Roman"/>
          <w:sz w:val="28"/>
        </w:rPr>
        <w:t>，则有权享受分红。但对于持有</w:t>
      </w:r>
      <w:r>
        <w:rPr>
          <w:rFonts w:hint="eastAsia" w:ascii="Times New Roman" w:hAnsi="Times New Roman" w:eastAsia="方正仿宋简体" w:cs="Times New Roman"/>
          <w:sz w:val="28"/>
        </w:rPr>
        <w:t>相应</w:t>
      </w:r>
      <w:r>
        <w:rPr>
          <w:rFonts w:ascii="Times New Roman" w:hAnsi="Times New Roman" w:eastAsia="方正仿宋简体" w:cs="Times New Roman"/>
          <w:sz w:val="28"/>
        </w:rPr>
        <w:t>认购期权的投资者而言，他们仅享有未来以约定价格买入</w:t>
      </w:r>
      <w:r>
        <w:rPr>
          <w:rFonts w:hint="eastAsia" w:ascii="Times New Roman" w:hAnsi="Times New Roman" w:eastAsia="方正仿宋简体" w:cs="Times New Roman"/>
          <w:sz w:val="28"/>
        </w:rPr>
        <w:t>标的</w:t>
      </w:r>
      <w:r>
        <w:rPr>
          <w:rFonts w:ascii="Times New Roman" w:hAnsi="Times New Roman" w:eastAsia="方正仿宋简体" w:cs="Times New Roman"/>
          <w:sz w:val="28"/>
        </w:rPr>
        <w:t>的权利，却未真正持有</w:t>
      </w:r>
      <w:r>
        <w:rPr>
          <w:rFonts w:hint="eastAsia" w:ascii="Times New Roman" w:hAnsi="Times New Roman" w:eastAsia="方正仿宋简体" w:cs="Times New Roman"/>
          <w:sz w:val="28"/>
        </w:rPr>
        <w:t>标的</w:t>
      </w:r>
      <w:r>
        <w:rPr>
          <w:rFonts w:ascii="Times New Roman" w:hAnsi="Times New Roman" w:eastAsia="方正仿宋简体" w:cs="Times New Roman"/>
          <w:sz w:val="28"/>
        </w:rPr>
        <w:t>，无法享受分红带来的收益，因此买方愿意支付的认购期权价格就会下降。另一方面，在</w:t>
      </w:r>
      <w:r>
        <w:rPr>
          <w:rFonts w:hint="eastAsia" w:ascii="Times New Roman" w:hAnsi="Times New Roman" w:eastAsia="方正仿宋简体" w:cs="Times New Roman"/>
          <w:sz w:val="28"/>
        </w:rPr>
        <w:t>标的</w:t>
      </w:r>
      <w:r>
        <w:rPr>
          <w:rFonts w:ascii="Times New Roman" w:hAnsi="Times New Roman" w:eastAsia="方正仿宋简体" w:cs="Times New Roman"/>
          <w:sz w:val="28"/>
        </w:rPr>
        <w:t>除息除权后，</w:t>
      </w:r>
      <w:r>
        <w:rPr>
          <w:rFonts w:hint="eastAsia" w:ascii="Times New Roman" w:hAnsi="Times New Roman" w:eastAsia="方正仿宋简体" w:cs="Times New Roman"/>
          <w:sz w:val="28"/>
        </w:rPr>
        <w:t>标的价格</w:t>
      </w:r>
      <w:r>
        <w:rPr>
          <w:rFonts w:ascii="Times New Roman" w:hAnsi="Times New Roman" w:eastAsia="方正仿宋简体" w:cs="Times New Roman"/>
          <w:sz w:val="28"/>
        </w:rPr>
        <w:t>下跌，认沽期权买方获利的可能性更大，因此认沽期权价格上升。</w:t>
      </w:r>
    </w:p>
    <w:p>
      <w:pPr>
        <w:spacing w:line="560" w:lineRule="exact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四、期权价值与价格的关系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期权价值决定期权价格</w:t>
      </w:r>
      <w:r>
        <w:rPr>
          <w:rFonts w:hint="eastAsia" w:ascii="Times New Roman" w:hAnsi="Times New Roman" w:eastAsia="方正仿宋简体" w:cs="Times New Roman"/>
          <w:sz w:val="28"/>
        </w:rPr>
        <w:t>（即“权利金”）</w:t>
      </w:r>
      <w:r>
        <w:rPr>
          <w:rFonts w:ascii="Times New Roman" w:hAnsi="Times New Roman" w:eastAsia="方正仿宋简体" w:cs="Times New Roman"/>
          <w:sz w:val="28"/>
        </w:rPr>
        <w:t>，期权价格是期权价值的表现形式。换言之，</w:t>
      </w:r>
      <w:r>
        <w:rPr>
          <w:rFonts w:hint="eastAsia" w:ascii="Times New Roman" w:hAnsi="Times New Roman" w:eastAsia="方正仿宋简体" w:cs="Times New Roman"/>
          <w:sz w:val="28"/>
        </w:rPr>
        <w:t>期权价格</w:t>
      </w:r>
      <w:r>
        <w:rPr>
          <w:rFonts w:ascii="Times New Roman" w:hAnsi="Times New Roman" w:eastAsia="方正仿宋简体" w:cs="Times New Roman"/>
          <w:sz w:val="28"/>
        </w:rPr>
        <w:t>就是期权价值的体现。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简体" w:cs="Times New Roman"/>
          <w:sz w:val="28"/>
        </w:rPr>
      </w:pPr>
      <w:r>
        <w:rPr>
          <w:rFonts w:ascii="Times New Roman" w:hAnsi="Times New Roman" w:eastAsia="方正仿宋简体" w:cs="Times New Roman"/>
          <w:sz w:val="28"/>
        </w:rPr>
        <w:t>期权价格围绕期权价值上下波动，长期来看，价格会反映价值，但在短期内，期权价格和期权价值很少能够一致。因此，期权卖方常常根据行权价、波动率等影响期权价值的因素形成自己的预期，根据期权定价公式得到期权的理论价值，判断期权的市场价格应当处于什么水平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86588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  <w:jc w:val="right"/>
      <w:rPr>
        <w:rFonts w:asciiTheme="minorEastAsia" w:hAnsiTheme="minorEastAsia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0194917"/>
      <w:docPartObj>
        <w:docPartGallery w:val="AutoText"/>
      </w:docPartObj>
    </w:sdtPr>
    <w:sdtEndPr>
      <w:rPr>
        <w:rFonts w:asciiTheme="minorEastAsia" w:hAnsiTheme="minorEastAsia"/>
        <w:sz w:val="21"/>
      </w:rPr>
    </w:sdtEndPr>
    <w:sdtContent>
      <w:p>
        <w:pPr>
          <w:pStyle w:val="4"/>
          <w:rPr>
            <w:rFonts w:asciiTheme="minorEastAsia" w:hAnsiTheme="minorEastAsia"/>
            <w:sz w:val="21"/>
          </w:rPr>
        </w:pPr>
        <w:r>
          <w:rPr>
            <w:rFonts w:hint="eastAsia" w:asciiTheme="minorEastAsia" w:hAnsiTheme="minorEastAsia"/>
            <w:sz w:val="21"/>
          </w:rPr>
          <w:t>—</w:t>
        </w:r>
        <w:r>
          <w:rPr>
            <w:rFonts w:asciiTheme="minorEastAsia" w:hAnsiTheme="minorEastAsia"/>
            <w:sz w:val="21"/>
          </w:rPr>
          <w:t xml:space="preserve"> </w:t>
        </w:r>
        <w:r>
          <w:rPr>
            <w:rFonts w:asciiTheme="minorEastAsia" w:hAnsiTheme="minorEastAsia"/>
            <w:sz w:val="21"/>
          </w:rPr>
          <w:fldChar w:fldCharType="begin"/>
        </w:r>
        <w:r>
          <w:rPr>
            <w:rFonts w:asciiTheme="minorEastAsia" w:hAnsiTheme="minorEastAsia"/>
            <w:sz w:val="21"/>
          </w:rPr>
          <w:instrText xml:space="preserve">PAGE   \* MERGEFORMAT</w:instrText>
        </w:r>
        <w:r>
          <w:rPr>
            <w:rFonts w:asciiTheme="minorEastAsia" w:hAnsiTheme="minorEastAsia"/>
            <w:sz w:val="21"/>
          </w:rPr>
          <w:fldChar w:fldCharType="separate"/>
        </w:r>
        <w:r>
          <w:rPr>
            <w:rFonts w:asciiTheme="minorEastAsia" w:hAnsiTheme="minorEastAsia"/>
            <w:sz w:val="21"/>
            <w:lang w:val="zh-CN"/>
          </w:rPr>
          <w:t>2</w:t>
        </w:r>
        <w:r>
          <w:rPr>
            <w:rFonts w:asciiTheme="minorEastAsia" w:hAnsiTheme="minorEastAsia"/>
            <w:sz w:val="21"/>
          </w:rPr>
          <w:fldChar w:fldCharType="end"/>
        </w:r>
        <w:r>
          <w:rPr>
            <w:rFonts w:hint="eastAsia" w:asciiTheme="minorEastAsia" w:hAnsiTheme="minorEastAsia"/>
            <w:sz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62"/>
    <w:rsid w:val="0002005B"/>
    <w:rsid w:val="000447EB"/>
    <w:rsid w:val="000567C9"/>
    <w:rsid w:val="000604FB"/>
    <w:rsid w:val="00064632"/>
    <w:rsid w:val="0007305B"/>
    <w:rsid w:val="00091078"/>
    <w:rsid w:val="000A4EA1"/>
    <w:rsid w:val="000D3BF4"/>
    <w:rsid w:val="000E0278"/>
    <w:rsid w:val="000E55CB"/>
    <w:rsid w:val="000E57BB"/>
    <w:rsid w:val="000E6164"/>
    <w:rsid w:val="000F043E"/>
    <w:rsid w:val="000F3EE7"/>
    <w:rsid w:val="000F5471"/>
    <w:rsid w:val="001036D6"/>
    <w:rsid w:val="00123147"/>
    <w:rsid w:val="001338A0"/>
    <w:rsid w:val="00171335"/>
    <w:rsid w:val="001910FC"/>
    <w:rsid w:val="001C5C16"/>
    <w:rsid w:val="001D5ADC"/>
    <w:rsid w:val="001E6C64"/>
    <w:rsid w:val="00250AED"/>
    <w:rsid w:val="00274DEF"/>
    <w:rsid w:val="002840BA"/>
    <w:rsid w:val="00295C51"/>
    <w:rsid w:val="002A38E8"/>
    <w:rsid w:val="002A606C"/>
    <w:rsid w:val="002A625C"/>
    <w:rsid w:val="00300F5C"/>
    <w:rsid w:val="0030129E"/>
    <w:rsid w:val="00304B8F"/>
    <w:rsid w:val="00313F38"/>
    <w:rsid w:val="00337AB4"/>
    <w:rsid w:val="00357228"/>
    <w:rsid w:val="00372781"/>
    <w:rsid w:val="00384DA7"/>
    <w:rsid w:val="003D16C0"/>
    <w:rsid w:val="003E39E7"/>
    <w:rsid w:val="00410985"/>
    <w:rsid w:val="004120AB"/>
    <w:rsid w:val="004A0C53"/>
    <w:rsid w:val="004A77AC"/>
    <w:rsid w:val="004B4337"/>
    <w:rsid w:val="004B58FE"/>
    <w:rsid w:val="004D1AE2"/>
    <w:rsid w:val="004F4F9D"/>
    <w:rsid w:val="004F6935"/>
    <w:rsid w:val="00505554"/>
    <w:rsid w:val="00540564"/>
    <w:rsid w:val="00550335"/>
    <w:rsid w:val="00593939"/>
    <w:rsid w:val="005A2233"/>
    <w:rsid w:val="005C6C32"/>
    <w:rsid w:val="005E2A33"/>
    <w:rsid w:val="005F14DD"/>
    <w:rsid w:val="00637F8D"/>
    <w:rsid w:val="00667AA7"/>
    <w:rsid w:val="00687B61"/>
    <w:rsid w:val="006931AD"/>
    <w:rsid w:val="006B1B55"/>
    <w:rsid w:val="006C7E15"/>
    <w:rsid w:val="006D6C95"/>
    <w:rsid w:val="006E33E3"/>
    <w:rsid w:val="00706786"/>
    <w:rsid w:val="0073716D"/>
    <w:rsid w:val="00742AB7"/>
    <w:rsid w:val="00764529"/>
    <w:rsid w:val="00777CE4"/>
    <w:rsid w:val="00794DCF"/>
    <w:rsid w:val="007B6A94"/>
    <w:rsid w:val="007C3E7B"/>
    <w:rsid w:val="007D0064"/>
    <w:rsid w:val="007D4FCB"/>
    <w:rsid w:val="007E47ED"/>
    <w:rsid w:val="008009CA"/>
    <w:rsid w:val="00803C7C"/>
    <w:rsid w:val="00840494"/>
    <w:rsid w:val="00844DFC"/>
    <w:rsid w:val="008738F4"/>
    <w:rsid w:val="00881929"/>
    <w:rsid w:val="008912EF"/>
    <w:rsid w:val="00891BD4"/>
    <w:rsid w:val="008F65A1"/>
    <w:rsid w:val="00922FC1"/>
    <w:rsid w:val="00931E81"/>
    <w:rsid w:val="009656E5"/>
    <w:rsid w:val="00993C5B"/>
    <w:rsid w:val="009B6EF4"/>
    <w:rsid w:val="009C0E75"/>
    <w:rsid w:val="009C290F"/>
    <w:rsid w:val="009D5A42"/>
    <w:rsid w:val="00A17F66"/>
    <w:rsid w:val="00A372FE"/>
    <w:rsid w:val="00A37D15"/>
    <w:rsid w:val="00A6265C"/>
    <w:rsid w:val="00A86456"/>
    <w:rsid w:val="00A943F7"/>
    <w:rsid w:val="00AF4662"/>
    <w:rsid w:val="00B05348"/>
    <w:rsid w:val="00B8651B"/>
    <w:rsid w:val="00BF5867"/>
    <w:rsid w:val="00BF6C32"/>
    <w:rsid w:val="00C20CC8"/>
    <w:rsid w:val="00C337AC"/>
    <w:rsid w:val="00C35C1D"/>
    <w:rsid w:val="00C417AE"/>
    <w:rsid w:val="00C4329D"/>
    <w:rsid w:val="00CC4E46"/>
    <w:rsid w:val="00CD2420"/>
    <w:rsid w:val="00D20E4D"/>
    <w:rsid w:val="00D52794"/>
    <w:rsid w:val="00D73AC0"/>
    <w:rsid w:val="00D8284D"/>
    <w:rsid w:val="00D87503"/>
    <w:rsid w:val="00D87A75"/>
    <w:rsid w:val="00D94F5F"/>
    <w:rsid w:val="00DB3D81"/>
    <w:rsid w:val="00DC44F7"/>
    <w:rsid w:val="00DD53BB"/>
    <w:rsid w:val="00E136E2"/>
    <w:rsid w:val="00E30A7A"/>
    <w:rsid w:val="00E358C0"/>
    <w:rsid w:val="00E42950"/>
    <w:rsid w:val="00E461FD"/>
    <w:rsid w:val="00E56574"/>
    <w:rsid w:val="00E70D74"/>
    <w:rsid w:val="00E95D7B"/>
    <w:rsid w:val="00EC5F2B"/>
    <w:rsid w:val="00EF5717"/>
    <w:rsid w:val="00F03393"/>
    <w:rsid w:val="00F055E1"/>
    <w:rsid w:val="00F11827"/>
    <w:rsid w:val="00F11A3C"/>
    <w:rsid w:val="00F64F31"/>
    <w:rsid w:val="00F676BB"/>
    <w:rsid w:val="00F94B37"/>
    <w:rsid w:val="00F95908"/>
    <w:rsid w:val="00FB451E"/>
    <w:rsid w:val="00FF3217"/>
    <w:rsid w:val="00FF3321"/>
    <w:rsid w:val="78E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5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D5AD38-B893-4F63-B3FB-16B18F7D6C8D}" type="doc">
      <dgm:prSet loTypeId="urn:microsoft.com/office/officeart/2005/8/layout/equation1" loCatId="process" qsTypeId="urn:microsoft.com/office/officeart/2005/8/quickstyle/simple2" qsCatId="simple" csTypeId="urn:microsoft.com/office/officeart/2005/8/colors/accent1_1" csCatId="accent1" phldr="1"/>
      <dgm:spPr/>
    </dgm:pt>
    <dgm:pt modelId="{7207A8ED-D820-4D68-BB92-8B0967C83AB4}">
      <dgm:prSet phldrT="[文本]" custT="1"/>
      <dgm:spPr/>
      <dgm:t>
        <a:bodyPr/>
        <a:p>
          <a:r>
            <a:rPr lang="zh-CN" altLang="en-US" sz="1600" b="1">
              <a:latin typeface="微软雅黑" panose="020B0503020204020204" pitchFamily="34" charset="-122"/>
              <a:ea typeface="微软雅黑" panose="020B0503020204020204" pitchFamily="34" charset="-122"/>
            </a:rPr>
            <a:t>内在价值</a:t>
          </a:r>
        </a:p>
      </dgm:t>
    </dgm:pt>
    <dgm:pt modelId="{E1AA511D-4494-4868-A917-BBE803070954}" cxnId="{AFA74605-FFE2-4771-B0B2-195B8CEE87E3}" type="parTrans">
      <dgm:prSet/>
      <dgm:spPr/>
      <dgm:t>
        <a:bodyPr/>
        <a:p>
          <a:endParaRPr lang="zh-CN" altLang="en-US" sz="2000" b="1">
            <a:latin typeface="微软雅黑" panose="020B0503020204020204" pitchFamily="34" charset="-122"/>
            <a:ea typeface="微软雅黑" panose="020B0503020204020204" pitchFamily="34" charset="-122"/>
          </a:endParaRPr>
        </a:p>
      </dgm:t>
    </dgm:pt>
    <dgm:pt modelId="{95D53EB3-7E9A-4C77-B260-D1A5043CD24C}" cxnId="{AFA74605-FFE2-4771-B0B2-195B8CEE87E3}" type="sibTrans">
      <dgm:prSet custT="1"/>
      <dgm:spPr/>
      <dgm:t>
        <a:bodyPr/>
        <a:p>
          <a:endParaRPr lang="zh-CN" altLang="en-US" sz="600" b="1">
            <a:latin typeface="微软雅黑" panose="020B0503020204020204" pitchFamily="34" charset="-122"/>
            <a:ea typeface="微软雅黑" panose="020B0503020204020204" pitchFamily="34" charset="-122"/>
          </a:endParaRPr>
        </a:p>
      </dgm:t>
    </dgm:pt>
    <dgm:pt modelId="{57C55F53-0117-4EB8-B3E8-251DFAC090A4}">
      <dgm:prSet phldrT="[文本]" custT="1"/>
      <dgm:spPr/>
      <dgm:t>
        <a:bodyPr/>
        <a:p>
          <a:r>
            <a:rPr lang="zh-CN" altLang="en-US" sz="1600" b="1">
              <a:latin typeface="微软雅黑" panose="020B0503020204020204" pitchFamily="34" charset="-122"/>
              <a:ea typeface="微软雅黑" panose="020B0503020204020204" pitchFamily="34" charset="-122"/>
            </a:rPr>
            <a:t>时间价值</a:t>
          </a:r>
        </a:p>
      </dgm:t>
    </dgm:pt>
    <dgm:pt modelId="{E585DEC7-8BCF-4C1C-B79D-90B90410430F}" cxnId="{77E6EDDB-A6BA-47BC-9002-1E5ED20487CB}" type="parTrans">
      <dgm:prSet/>
      <dgm:spPr/>
      <dgm:t>
        <a:bodyPr/>
        <a:p>
          <a:endParaRPr lang="zh-CN" altLang="en-US" sz="2000" b="1">
            <a:latin typeface="微软雅黑" panose="020B0503020204020204" pitchFamily="34" charset="-122"/>
            <a:ea typeface="微软雅黑" panose="020B0503020204020204" pitchFamily="34" charset="-122"/>
          </a:endParaRPr>
        </a:p>
      </dgm:t>
    </dgm:pt>
    <dgm:pt modelId="{3D96CB75-8A79-45E5-A8BF-65E3BE82BFA6}" cxnId="{77E6EDDB-A6BA-47BC-9002-1E5ED20487CB}" type="sibTrans">
      <dgm:prSet custT="1"/>
      <dgm:spPr/>
      <dgm:t>
        <a:bodyPr/>
        <a:p>
          <a:endParaRPr lang="zh-CN" altLang="en-US" sz="1400" b="1">
            <a:latin typeface="微软雅黑" panose="020B0503020204020204" pitchFamily="34" charset="-122"/>
            <a:ea typeface="微软雅黑" panose="020B0503020204020204" pitchFamily="34" charset="-122"/>
          </a:endParaRPr>
        </a:p>
      </dgm:t>
    </dgm:pt>
    <dgm:pt modelId="{9ED324A9-04D0-4241-B7BE-F1629A1D1F15}">
      <dgm:prSet phldrT="[文本]" custT="1"/>
      <dgm:spPr/>
      <dgm:t>
        <a:bodyPr/>
        <a:p>
          <a:r>
            <a:rPr lang="zh-CN" altLang="en-US" sz="1600" b="1">
              <a:latin typeface="微软雅黑" panose="020B0503020204020204" pitchFamily="34" charset="-122"/>
              <a:ea typeface="微软雅黑" panose="020B0503020204020204" pitchFamily="34" charset="-122"/>
            </a:rPr>
            <a:t>期权价值</a:t>
          </a:r>
        </a:p>
      </dgm:t>
    </dgm:pt>
    <dgm:pt modelId="{5E6D6B7B-1673-49F0-AECC-6F3152A031EB}" cxnId="{430D46CE-E3F3-415C-9E57-EC76A0369524}" type="parTrans">
      <dgm:prSet/>
      <dgm:spPr/>
      <dgm:t>
        <a:bodyPr/>
        <a:p>
          <a:endParaRPr lang="zh-CN" altLang="en-US" sz="2000" b="1">
            <a:latin typeface="微软雅黑" panose="020B0503020204020204" pitchFamily="34" charset="-122"/>
            <a:ea typeface="微软雅黑" panose="020B0503020204020204" pitchFamily="34" charset="-122"/>
          </a:endParaRPr>
        </a:p>
      </dgm:t>
    </dgm:pt>
    <dgm:pt modelId="{16365790-EA73-4E93-AE26-8649D907BC19}" cxnId="{430D46CE-E3F3-415C-9E57-EC76A0369524}" type="sibTrans">
      <dgm:prSet/>
      <dgm:spPr/>
      <dgm:t>
        <a:bodyPr/>
        <a:p>
          <a:endParaRPr lang="zh-CN" altLang="en-US" sz="2000" b="1">
            <a:latin typeface="微软雅黑" panose="020B0503020204020204" pitchFamily="34" charset="-122"/>
            <a:ea typeface="微软雅黑" panose="020B0503020204020204" pitchFamily="34" charset="-122"/>
          </a:endParaRPr>
        </a:p>
      </dgm:t>
    </dgm:pt>
    <dgm:pt modelId="{38519EE0-498A-42EF-8C3C-B616FBD7E327}" type="pres">
      <dgm:prSet presAssocID="{94D5AD38-B893-4F63-B3FB-16B18F7D6C8D}" presName="linearFlow" presStyleCnt="0">
        <dgm:presLayoutVars>
          <dgm:dir/>
          <dgm:resizeHandles val="exact"/>
        </dgm:presLayoutVars>
      </dgm:prSet>
      <dgm:spPr/>
    </dgm:pt>
    <dgm:pt modelId="{ABD079BE-F2C6-4FC7-A1BF-4A8C5C48EEC1}" type="pres">
      <dgm:prSet presAssocID="{7207A8ED-D820-4D68-BB92-8B0967C83AB4}" presName="node" presStyleLbl="node1" presStyleIdx="0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69C876D2-48CC-41EE-8E56-DE7E91E72C34}" type="pres">
      <dgm:prSet presAssocID="{95D53EB3-7E9A-4C77-B260-D1A5043CD24C}" presName="spacerL" presStyleCnt="0"/>
      <dgm:spPr/>
    </dgm:pt>
    <dgm:pt modelId="{DD60E8BC-BD1E-4E96-9C89-269ACAC4D956}" type="pres">
      <dgm:prSet presAssocID="{95D53EB3-7E9A-4C77-B260-D1A5043CD24C}" presName="sibTrans" presStyleLbl="sibTrans2D1" presStyleIdx="0" presStyleCnt="2"/>
      <dgm:spPr/>
      <dgm:t>
        <a:bodyPr/>
        <a:p>
          <a:endParaRPr lang="zh-CN" altLang="en-US"/>
        </a:p>
      </dgm:t>
    </dgm:pt>
    <dgm:pt modelId="{CC16D13D-BC62-4F89-8DA4-ED66CB2937FF}" type="pres">
      <dgm:prSet presAssocID="{95D53EB3-7E9A-4C77-B260-D1A5043CD24C}" presName="spacerR" presStyleCnt="0"/>
      <dgm:spPr/>
    </dgm:pt>
    <dgm:pt modelId="{46F59CAF-5587-4E7D-B5EF-EEBA65D44BCE}" type="pres">
      <dgm:prSet presAssocID="{57C55F53-0117-4EB8-B3E8-251DFAC090A4}" presName="node" presStyleLbl="node1" presStyleIdx="1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7121B8DB-772F-4F3A-A40C-A91E2ED1B5FC}" type="pres">
      <dgm:prSet presAssocID="{3D96CB75-8A79-45E5-A8BF-65E3BE82BFA6}" presName="spacerL" presStyleCnt="0"/>
      <dgm:spPr/>
    </dgm:pt>
    <dgm:pt modelId="{9993A8ED-5D59-4D62-8AD0-AF0E6190F2CC}" type="pres">
      <dgm:prSet presAssocID="{3D96CB75-8A79-45E5-A8BF-65E3BE82BFA6}" presName="sibTrans" presStyleLbl="sibTrans2D1" presStyleIdx="1" presStyleCnt="2"/>
      <dgm:spPr/>
      <dgm:t>
        <a:bodyPr/>
        <a:p>
          <a:endParaRPr lang="zh-CN" altLang="en-US"/>
        </a:p>
      </dgm:t>
    </dgm:pt>
    <dgm:pt modelId="{39FB54B9-550A-4C2E-9227-122573F38FED}" type="pres">
      <dgm:prSet presAssocID="{3D96CB75-8A79-45E5-A8BF-65E3BE82BFA6}" presName="spacerR" presStyleCnt="0"/>
      <dgm:spPr/>
    </dgm:pt>
    <dgm:pt modelId="{743BCEA4-9E8D-438A-925C-D0CD08E6A764}" type="pres">
      <dgm:prSet presAssocID="{9ED324A9-04D0-4241-B7BE-F1629A1D1F15}" presName="node" presStyleLbl="node1" presStyleIdx="2" presStyleCnt="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77E6EDDB-A6BA-47BC-9002-1E5ED20487CB}" srcId="{94D5AD38-B893-4F63-B3FB-16B18F7D6C8D}" destId="{57C55F53-0117-4EB8-B3E8-251DFAC090A4}" srcOrd="1" destOrd="0" parTransId="{E585DEC7-8BCF-4C1C-B79D-90B90410430F}" sibTransId="{3D96CB75-8A79-45E5-A8BF-65E3BE82BFA6}"/>
    <dgm:cxn modelId="{875E09DF-5FA4-4ACF-94CD-AE1D28FE7796}" type="presOf" srcId="{9ED324A9-04D0-4241-B7BE-F1629A1D1F15}" destId="{743BCEA4-9E8D-438A-925C-D0CD08E6A764}" srcOrd="0" destOrd="0" presId="urn:microsoft.com/office/officeart/2005/8/layout/equation1"/>
    <dgm:cxn modelId="{430D46CE-E3F3-415C-9E57-EC76A0369524}" srcId="{94D5AD38-B893-4F63-B3FB-16B18F7D6C8D}" destId="{9ED324A9-04D0-4241-B7BE-F1629A1D1F15}" srcOrd="2" destOrd="0" parTransId="{5E6D6B7B-1673-49F0-AECC-6F3152A031EB}" sibTransId="{16365790-EA73-4E93-AE26-8649D907BC19}"/>
    <dgm:cxn modelId="{7A697680-9B36-4982-BE17-F83AD9095E66}" type="presOf" srcId="{94D5AD38-B893-4F63-B3FB-16B18F7D6C8D}" destId="{38519EE0-498A-42EF-8C3C-B616FBD7E327}" srcOrd="0" destOrd="0" presId="urn:microsoft.com/office/officeart/2005/8/layout/equation1"/>
    <dgm:cxn modelId="{AFA74605-FFE2-4771-B0B2-195B8CEE87E3}" srcId="{94D5AD38-B893-4F63-B3FB-16B18F7D6C8D}" destId="{7207A8ED-D820-4D68-BB92-8B0967C83AB4}" srcOrd="0" destOrd="0" parTransId="{E1AA511D-4494-4868-A917-BBE803070954}" sibTransId="{95D53EB3-7E9A-4C77-B260-D1A5043CD24C}"/>
    <dgm:cxn modelId="{64C97AC0-E37F-4A36-A889-07417E9F2C29}" type="presOf" srcId="{3D96CB75-8A79-45E5-A8BF-65E3BE82BFA6}" destId="{9993A8ED-5D59-4D62-8AD0-AF0E6190F2CC}" srcOrd="0" destOrd="0" presId="urn:microsoft.com/office/officeart/2005/8/layout/equation1"/>
    <dgm:cxn modelId="{C9083A7F-E985-47C4-B207-2013A90BF141}" type="presOf" srcId="{57C55F53-0117-4EB8-B3E8-251DFAC090A4}" destId="{46F59CAF-5587-4E7D-B5EF-EEBA65D44BCE}" srcOrd="0" destOrd="0" presId="urn:microsoft.com/office/officeart/2005/8/layout/equation1"/>
    <dgm:cxn modelId="{4F474042-68A9-43FC-AC65-04714BA83E5C}" type="presOf" srcId="{95D53EB3-7E9A-4C77-B260-D1A5043CD24C}" destId="{DD60E8BC-BD1E-4E96-9C89-269ACAC4D956}" srcOrd="0" destOrd="0" presId="urn:microsoft.com/office/officeart/2005/8/layout/equation1"/>
    <dgm:cxn modelId="{714CB08D-105C-463E-A6C6-4631C03A17C4}" type="presOf" srcId="{7207A8ED-D820-4D68-BB92-8B0967C83AB4}" destId="{ABD079BE-F2C6-4FC7-A1BF-4A8C5C48EEC1}" srcOrd="0" destOrd="0" presId="urn:microsoft.com/office/officeart/2005/8/layout/equation1"/>
    <dgm:cxn modelId="{53887B2A-9163-4FC1-848F-09C1DF91F065}" type="presParOf" srcId="{38519EE0-498A-42EF-8C3C-B616FBD7E327}" destId="{ABD079BE-F2C6-4FC7-A1BF-4A8C5C48EEC1}" srcOrd="0" destOrd="0" presId="urn:microsoft.com/office/officeart/2005/8/layout/equation1"/>
    <dgm:cxn modelId="{F334507C-BA4F-4113-BDD9-3F85729D62F3}" type="presParOf" srcId="{38519EE0-498A-42EF-8C3C-B616FBD7E327}" destId="{69C876D2-48CC-41EE-8E56-DE7E91E72C34}" srcOrd="1" destOrd="0" presId="urn:microsoft.com/office/officeart/2005/8/layout/equation1"/>
    <dgm:cxn modelId="{5EBCF777-CECA-48A4-9746-358D88D776B8}" type="presParOf" srcId="{38519EE0-498A-42EF-8C3C-B616FBD7E327}" destId="{DD60E8BC-BD1E-4E96-9C89-269ACAC4D956}" srcOrd="2" destOrd="0" presId="urn:microsoft.com/office/officeart/2005/8/layout/equation1"/>
    <dgm:cxn modelId="{D17E5B2E-B036-4643-A072-E0F1D79226C3}" type="presParOf" srcId="{38519EE0-498A-42EF-8C3C-B616FBD7E327}" destId="{CC16D13D-BC62-4F89-8DA4-ED66CB2937FF}" srcOrd="3" destOrd="0" presId="urn:microsoft.com/office/officeart/2005/8/layout/equation1"/>
    <dgm:cxn modelId="{6E564812-7F9F-47FD-B35A-A7893E3EDBE6}" type="presParOf" srcId="{38519EE0-498A-42EF-8C3C-B616FBD7E327}" destId="{46F59CAF-5587-4E7D-B5EF-EEBA65D44BCE}" srcOrd="4" destOrd="0" presId="urn:microsoft.com/office/officeart/2005/8/layout/equation1"/>
    <dgm:cxn modelId="{68C13765-103B-416B-B47F-942E18EBCEDF}" type="presParOf" srcId="{38519EE0-498A-42EF-8C3C-B616FBD7E327}" destId="{7121B8DB-772F-4F3A-A40C-A91E2ED1B5FC}" srcOrd="5" destOrd="0" presId="urn:microsoft.com/office/officeart/2005/8/layout/equation1"/>
    <dgm:cxn modelId="{E5738AB9-BB4D-40FF-AEEF-79A02FDC0657}" type="presParOf" srcId="{38519EE0-498A-42EF-8C3C-B616FBD7E327}" destId="{9993A8ED-5D59-4D62-8AD0-AF0E6190F2CC}" srcOrd="6" destOrd="0" presId="urn:microsoft.com/office/officeart/2005/8/layout/equation1"/>
    <dgm:cxn modelId="{96BEA72F-2A98-4BD1-BBCF-73CC4BCC314F}" type="presParOf" srcId="{38519EE0-498A-42EF-8C3C-B616FBD7E327}" destId="{39FB54B9-550A-4C2E-9227-122573F38FED}" srcOrd="7" destOrd="0" presId="urn:microsoft.com/office/officeart/2005/8/layout/equation1"/>
    <dgm:cxn modelId="{3649C786-D975-4154-87B9-EBBDC4886864}" type="presParOf" srcId="{38519EE0-498A-42EF-8C3C-B616FBD7E327}" destId="{743BCEA4-9E8D-438A-925C-D0CD08E6A764}" srcOrd="8" destOrd="0" presId="urn:microsoft.com/office/officeart/2005/8/layout/equation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D079BE-F2C6-4FC7-A1BF-4A8C5C48EEC1}">
      <dsp:nvSpPr>
        <dsp:cNvPr id="0" name=""/>
        <dsp:cNvSpPr/>
      </dsp:nvSpPr>
      <dsp:spPr>
        <a:xfrm>
          <a:off x="679941" y="92"/>
          <a:ext cx="830325" cy="83032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内在价值</a:t>
          </a:r>
        </a:p>
      </dsp:txBody>
      <dsp:txXfrm>
        <a:off x="801539" y="121690"/>
        <a:ext cx="587129" cy="587129"/>
      </dsp:txXfrm>
    </dsp:sp>
    <dsp:sp modelId="{DD60E8BC-BD1E-4E96-9C89-269ACAC4D956}">
      <dsp:nvSpPr>
        <dsp:cNvPr id="0" name=""/>
        <dsp:cNvSpPr/>
      </dsp:nvSpPr>
      <dsp:spPr>
        <a:xfrm>
          <a:off x="1577689" y="174460"/>
          <a:ext cx="481588" cy="481588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600" b="1" kern="1200">
            <a:latin typeface="微软雅黑" panose="020B0503020204020204" pitchFamily="34" charset="-122"/>
            <a:ea typeface="微软雅黑" panose="020B0503020204020204" pitchFamily="34" charset="-122"/>
          </a:endParaRPr>
        </a:p>
      </dsp:txBody>
      <dsp:txXfrm>
        <a:off x="1641523" y="358619"/>
        <a:ext cx="353920" cy="113270"/>
      </dsp:txXfrm>
    </dsp:sp>
    <dsp:sp modelId="{46F59CAF-5587-4E7D-B5EF-EEBA65D44BCE}">
      <dsp:nvSpPr>
        <dsp:cNvPr id="0" name=""/>
        <dsp:cNvSpPr/>
      </dsp:nvSpPr>
      <dsp:spPr>
        <a:xfrm>
          <a:off x="2126701" y="92"/>
          <a:ext cx="830325" cy="83032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时间价值</a:t>
          </a:r>
        </a:p>
      </dsp:txBody>
      <dsp:txXfrm>
        <a:off x="2248299" y="121690"/>
        <a:ext cx="587129" cy="587129"/>
      </dsp:txXfrm>
    </dsp:sp>
    <dsp:sp modelId="{9993A8ED-5D59-4D62-8AD0-AF0E6190F2CC}">
      <dsp:nvSpPr>
        <dsp:cNvPr id="0" name=""/>
        <dsp:cNvSpPr/>
      </dsp:nvSpPr>
      <dsp:spPr>
        <a:xfrm>
          <a:off x="3024449" y="174460"/>
          <a:ext cx="481588" cy="481588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400" b="1" kern="1200">
            <a:latin typeface="微软雅黑" panose="020B0503020204020204" pitchFamily="34" charset="-122"/>
            <a:ea typeface="微软雅黑" panose="020B0503020204020204" pitchFamily="34" charset="-122"/>
          </a:endParaRPr>
        </a:p>
      </dsp:txBody>
      <dsp:txXfrm>
        <a:off x="3088283" y="273667"/>
        <a:ext cx="353920" cy="283174"/>
      </dsp:txXfrm>
    </dsp:sp>
    <dsp:sp modelId="{743BCEA4-9E8D-438A-925C-D0CD08E6A764}">
      <dsp:nvSpPr>
        <dsp:cNvPr id="0" name=""/>
        <dsp:cNvSpPr/>
      </dsp:nvSpPr>
      <dsp:spPr>
        <a:xfrm>
          <a:off x="3573460" y="92"/>
          <a:ext cx="830325" cy="83032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b="1" kern="1200">
              <a:latin typeface="微软雅黑" panose="020B0503020204020204" pitchFamily="34" charset="-122"/>
              <a:ea typeface="微软雅黑" panose="020B0503020204020204" pitchFamily="34" charset="-122"/>
            </a:rPr>
            <a:t>期权价值</a:t>
          </a:r>
        </a:p>
      </dsp:txBody>
      <dsp:txXfrm>
        <a:off x="3695058" y="121690"/>
        <a:ext cx="587129" cy="5871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2B0B2-C2E2-448C-94BB-4A3CD795113D}">
  <ds:schemaRefs/>
</ds:datastoreItem>
</file>

<file path=customXml/itemProps3.xml><?xml version="1.0" encoding="utf-8"?>
<ds:datastoreItem xmlns:ds="http://schemas.openxmlformats.org/officeDocument/2006/customXml" ds:itemID="{3B871B56-30A6-44CC-A8EE-96AE3B0B5C3C}">
  <ds:schemaRefs/>
</ds:datastoreItem>
</file>

<file path=customXml/itemProps4.xml><?xml version="1.0" encoding="utf-8"?>
<ds:datastoreItem xmlns:ds="http://schemas.openxmlformats.org/officeDocument/2006/customXml" ds:itemID="{73AD47D4-9951-4E6F-B151-DFEB7B1A2778}">
  <ds:schemaRefs/>
</ds:datastoreItem>
</file>

<file path=customXml/itemProps5.xml><?xml version="1.0" encoding="utf-8"?>
<ds:datastoreItem xmlns:ds="http://schemas.openxmlformats.org/officeDocument/2006/customXml" ds:itemID="{F78DB531-5E82-485B-ADE4-628B7AF154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1812</Characters>
  <Lines>15</Lines>
  <Paragraphs>4</Paragraphs>
  <TotalTime>2034</TotalTime>
  <ScaleCrop>false</ScaleCrop>
  <LinksUpToDate>false</LinksUpToDate>
  <CharactersWithSpaces>2125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2019-06-16T03:28:00Z</dcterms:created>
  <dc:creator>jiec</dc:creator>
  <cp:lastModifiedBy>原青1426759073</cp:lastModifiedBy>
  <cp:lastPrinted>2019-12-02T02:38:00Z</cp:lastPrinted>
  <dcterms:modified xsi:type="dcterms:W3CDTF">2020-04-03T06:56:20Z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  <property fmtid="{D5CDD505-2E9C-101B-9397-08002B2CF9AE}" pid="3" name="KSOProductBuildVer">
    <vt:lpwstr>2052-11.1.0.9584</vt:lpwstr>
  </property>
</Properties>
</file>