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深市期权投教丨</w:t>
      </w:r>
      <w:r>
        <w:rPr>
          <w:rFonts w:ascii="Times New Roman" w:hAnsi="Times New Roman" w:eastAsia="方正小标宋简体" w:cs="Times New Roman"/>
          <w:sz w:val="40"/>
          <w:szCs w:val="40"/>
        </w:rPr>
        <w:t>认识深市期权标的</w:t>
      </w:r>
    </w:p>
    <w:p>
      <w:pPr>
        <w:ind w:firstLine="90" w:firstLineChars="50"/>
        <w:rPr>
          <w:rFonts w:ascii="Times New Roman" w:hAnsi="Times New Roman" w:cs="Times New Roman"/>
          <w:sz w:val="18"/>
        </w:rPr>
      </w:pPr>
    </w:p>
    <w:p>
      <w:pPr>
        <w:ind w:firstLine="90" w:firstLineChars="50"/>
        <w:rPr>
          <w:rFonts w:ascii="Times New Roman" w:hAnsi="Times New Roman" w:cs="Times New Roman"/>
          <w:sz w:val="18"/>
        </w:rPr>
      </w:pPr>
    </w:p>
    <w:p>
      <w:pPr>
        <w:ind w:firstLine="90" w:firstLineChars="50"/>
        <w:rPr>
          <w:rFonts w:ascii="Times New Roman" w:hAnsi="Times New Roman" w:cs="Times New Roman"/>
          <w:sz w:val="18"/>
        </w:rPr>
      </w:pP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期权合约标的，是期权合约双方约定的未来买入或卖出的资产，它可以是金融资产，也可以是实物资产；可以是现货，也可以是期货。依照标的的不同种类，期权合约可以分为股票期权、商品期权、外汇期权、利率期权等。其中，股票期权又包括ETF期权和个股期权。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标的资产既是期权发挥作用的目标、行权时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交割</w:t>
      </w:r>
      <w:r>
        <w:rPr>
          <w:rFonts w:ascii="Times New Roman" w:hAnsi="Times New Roman" w:eastAsia="方正仿宋简体" w:cs="Times New Roman"/>
          <w:sz w:val="28"/>
          <w:szCs w:val="28"/>
        </w:rPr>
        <w:t>的对象，也是期权这类金融衍生品价格变化的基础。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国内外</w:t>
      </w:r>
      <w:r>
        <w:rPr>
          <w:rFonts w:ascii="Times New Roman" w:hAnsi="Times New Roman" w:eastAsia="方正仿宋简体" w:cs="Times New Roman"/>
          <w:sz w:val="28"/>
          <w:szCs w:val="28"/>
        </w:rPr>
        <w:t>成功经验表明，合约标的的选择是期权产品能否取得成功的关键因素，需从抗操纵性、流动性、透明度以及波动性等方面综合考虑。市场成功的ETF期权具有基准指数优良与标的ETF基础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扎实</w:t>
      </w:r>
      <w:r>
        <w:rPr>
          <w:rFonts w:ascii="Times New Roman" w:hAnsi="Times New Roman" w:eastAsia="方正仿宋简体" w:cs="Times New Roman"/>
          <w:sz w:val="28"/>
          <w:szCs w:val="28"/>
        </w:rPr>
        <w:t>的特征，基准指数是所在市场重要标志性指数。下面，我们就来认识一下深市首只期权对应的基准指数与标的ETF吧！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深市首只期权标的为嘉实沪深300ETF，其基准指数——沪深300指数是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A股市场普遍认可的标志性指数</w:t>
      </w:r>
      <w:r>
        <w:rPr>
          <w:rFonts w:ascii="Times New Roman" w:hAnsi="Times New Roman" w:eastAsia="方正仿宋简体" w:cs="Times New Roman"/>
          <w:sz w:val="28"/>
          <w:szCs w:val="28"/>
        </w:rPr>
        <w:t>，代表性强、成份股基础好、波动率适中，具体而言：</w:t>
      </w:r>
    </w:p>
    <w:p>
      <w:pPr>
        <w:ind w:firstLine="700" w:firstLineChars="250"/>
        <w:rPr>
          <w:rFonts w:ascii="Times New Roman" w:hAnsi="Times New Roman" w:eastAsia="方正仿宋简体" w:cs="Times New Roman"/>
          <w:bCs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bCs/>
          <w:sz w:val="28"/>
          <w:szCs w:val="28"/>
        </w:rPr>
        <w:t>一是指数代表性强。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沪深300指数由沪深两市中市值大、流动性好的300只股票组成，</w:t>
      </w:r>
      <w:r>
        <w:rPr>
          <w:rFonts w:ascii="Times New Roman" w:hAnsi="Times New Roman" w:eastAsia="方正仿宋简体" w:cs="Times New Roman"/>
          <w:sz w:val="28"/>
          <w:szCs w:val="28"/>
        </w:rPr>
        <w:t>集合了当前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我国</w:t>
      </w:r>
      <w:r>
        <w:rPr>
          <w:rFonts w:ascii="Times New Roman" w:hAnsi="Times New Roman" w:eastAsia="方正仿宋简体" w:cs="Times New Roman"/>
          <w:sz w:val="28"/>
          <w:szCs w:val="28"/>
        </w:rPr>
        <w:t>国民经济支柱的大中型骨干企业，与A股行业分布基本一致，能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较好反映A股市场的整体表现。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二是成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</w:rPr>
        <w:t>份</w:t>
      </w:r>
      <w:r>
        <w:rPr>
          <w:rFonts w:ascii="Times New Roman" w:hAnsi="Times New Roman" w:eastAsia="方正仿宋简体" w:cs="Times New Roman"/>
          <w:b/>
          <w:sz w:val="28"/>
          <w:szCs w:val="28"/>
        </w:rPr>
        <w:t>股基础好。</w:t>
      </w:r>
      <w:r>
        <w:rPr>
          <w:rFonts w:ascii="Times New Roman" w:hAnsi="Times New Roman" w:eastAsia="方正仿宋简体" w:cs="Times New Roman"/>
          <w:sz w:val="28"/>
          <w:szCs w:val="28"/>
        </w:rPr>
        <w:t>沪深300指数成份股规模大、流动性好。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截至</w:t>
      </w:r>
      <w:r>
        <w:rPr>
          <w:rFonts w:ascii="Times New Roman" w:hAnsi="Times New Roman" w:eastAsia="方正仿宋简体" w:cs="Times New Roman"/>
          <w:sz w:val="28"/>
          <w:szCs w:val="28"/>
        </w:rPr>
        <w:t>201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9</w:t>
      </w:r>
      <w:r>
        <w:rPr>
          <w:rFonts w:ascii="Times New Roman" w:hAnsi="Times New Roman" w:eastAsia="方正仿宋简体" w:cs="Times New Roman"/>
          <w:sz w:val="28"/>
          <w:szCs w:val="28"/>
        </w:rPr>
        <w:t>年11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月末</w:t>
      </w:r>
      <w:r>
        <w:rPr>
          <w:rFonts w:ascii="Times New Roman" w:hAnsi="Times New Roman" w:eastAsia="方正仿宋简体" w:cs="Times New Roman"/>
          <w:sz w:val="28"/>
          <w:szCs w:val="28"/>
        </w:rPr>
        <w:t>，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沪深300指数成份股市值</w:t>
      </w:r>
      <w:r>
        <w:rPr>
          <w:rFonts w:ascii="Times New Roman" w:hAnsi="Times New Roman" w:eastAsia="方正仿宋简体" w:cs="Times New Roman"/>
          <w:sz w:val="28"/>
          <w:szCs w:val="28"/>
        </w:rPr>
        <w:t>达36.23万亿元，占全部A股市值的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61</w:t>
      </w:r>
      <w:r>
        <w:rPr>
          <w:rFonts w:ascii="Times New Roman" w:hAnsi="Times New Roman" w:eastAsia="方正仿宋简体" w:cs="Times New Roman"/>
          <w:sz w:val="28"/>
          <w:szCs w:val="28"/>
        </w:rPr>
        <w:t>%；总成交金额为34.71万亿元，占全市场总成交金额的30%。同时，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沪深300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成份股权重均衡，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市值分布均匀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，前十大权重股占比约2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8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%，低于上证50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、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恒生指数等指数。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三是</w:t>
      </w:r>
      <w:r>
        <w:rPr>
          <w:rFonts w:ascii="Times New Roman" w:hAnsi="Times New Roman" w:eastAsia="方正仿宋简体" w:cs="Times New Roman"/>
          <w:b/>
          <w:bCs/>
          <w:sz w:val="28"/>
          <w:szCs w:val="28"/>
        </w:rPr>
        <w:t>波动率适中。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201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9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年前1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1个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月，沪深300指数年化波动率为1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8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.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99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%，略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低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于上证50指数的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19.32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%，高于同期标普500指数的11.3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2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%和恒生指数的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</w:rPr>
        <w:t>16.71%</w:t>
      </w:r>
      <w:r>
        <w:rPr>
          <w:rFonts w:ascii="Times New Roman" w:hAnsi="Times New Roman" w:eastAsia="方正仿宋简体" w:cs="Times New Roman"/>
          <w:bCs/>
          <w:sz w:val="28"/>
          <w:szCs w:val="28"/>
        </w:rPr>
        <w:t>。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再来看深市期权标的ETF—嘉实沪深300ETF（159919），它规模大、流动性好、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跟踪误差小</w:t>
      </w:r>
      <w:r>
        <w:rPr>
          <w:rFonts w:ascii="Times New Roman" w:hAnsi="Times New Roman" w:eastAsia="方正仿宋简体" w:cs="Times New Roman"/>
          <w:sz w:val="28"/>
          <w:szCs w:val="28"/>
        </w:rPr>
        <w:t>、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运行稳健</w:t>
      </w:r>
      <w:r>
        <w:rPr>
          <w:rFonts w:ascii="Times New Roman" w:hAnsi="Times New Roman" w:eastAsia="方正仿宋简体" w:cs="Times New Roman"/>
          <w:sz w:val="28"/>
          <w:szCs w:val="28"/>
        </w:rPr>
        <w:t>，是开发ETF期权的优良标的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，</w:t>
      </w:r>
      <w:r>
        <w:rPr>
          <w:rFonts w:ascii="Times New Roman" w:hAnsi="Times New Roman" w:eastAsia="方正仿宋简体" w:cs="Times New Roman"/>
          <w:sz w:val="28"/>
          <w:szCs w:val="28"/>
        </w:rPr>
        <w:t>具体而言：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一是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</w:rPr>
        <w:t>基金规模大，流动性好</w:t>
      </w:r>
      <w:r>
        <w:rPr>
          <w:rFonts w:ascii="Times New Roman" w:hAnsi="Times New Roman" w:eastAsia="方正仿宋简体" w:cs="Times New Roman"/>
          <w:b/>
          <w:sz w:val="28"/>
          <w:szCs w:val="28"/>
        </w:rPr>
        <w:t>。</w:t>
      </w:r>
      <w:r>
        <w:rPr>
          <w:rFonts w:ascii="Times New Roman" w:hAnsi="Times New Roman" w:eastAsia="方正仿宋简体" w:cs="Times New Roman"/>
          <w:sz w:val="28"/>
          <w:szCs w:val="28"/>
        </w:rPr>
        <w:t>嘉实沪深300ETF成立于2012年，截至201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9</w:t>
      </w:r>
      <w:r>
        <w:rPr>
          <w:rFonts w:ascii="Times New Roman" w:hAnsi="Times New Roman" w:eastAsia="方正仿宋简体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11月</w:t>
      </w:r>
      <w:r>
        <w:rPr>
          <w:rFonts w:ascii="Times New Roman" w:hAnsi="Times New Roman" w:eastAsia="方正仿宋简体" w:cs="Times New Roman"/>
          <w:sz w:val="28"/>
          <w:szCs w:val="28"/>
        </w:rPr>
        <w:t>末，其规模已达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226.48</w:t>
      </w:r>
      <w:r>
        <w:rPr>
          <w:rFonts w:ascii="Times New Roman" w:hAnsi="Times New Roman" w:eastAsia="方正仿宋简体" w:cs="Times New Roman"/>
          <w:sz w:val="28"/>
          <w:szCs w:val="28"/>
        </w:rPr>
        <w:t>亿元，是深市规模最大的跨市场ETF产品。成立七年以来，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嘉实沪深300ETF规模</w:t>
      </w:r>
      <w:r>
        <w:rPr>
          <w:rFonts w:ascii="Times New Roman" w:hAnsi="Times New Roman" w:eastAsia="方正仿宋简体" w:cs="Times New Roman"/>
          <w:sz w:val="28"/>
          <w:szCs w:val="28"/>
        </w:rPr>
        <w:t>长期位居沪深300ETF前三位，其中四个年度位居第一，规模最高时达450亿元。201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9</w:t>
      </w:r>
      <w:r>
        <w:rPr>
          <w:rFonts w:ascii="Times New Roman" w:hAnsi="Times New Roman" w:eastAsia="方正仿宋简体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1-10月</w:t>
      </w:r>
      <w:r>
        <w:rPr>
          <w:rFonts w:ascii="Times New Roman" w:hAnsi="Times New Roman" w:eastAsia="方正仿宋简体" w:cs="Times New Roman"/>
          <w:sz w:val="28"/>
          <w:szCs w:val="28"/>
        </w:rPr>
        <w:t>，嘉实沪深300ETF日均成交金额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达</w:t>
      </w:r>
      <w:r>
        <w:rPr>
          <w:rFonts w:ascii="Times New Roman" w:hAnsi="Times New Roman" w:eastAsia="方正仿宋简体" w:cs="Times New Roman"/>
          <w:sz w:val="28"/>
          <w:szCs w:val="28"/>
        </w:rPr>
        <w:t>2.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78</w:t>
      </w:r>
      <w:r>
        <w:rPr>
          <w:rFonts w:ascii="Times New Roman" w:hAnsi="Times New Roman" w:eastAsia="方正仿宋简体" w:cs="Times New Roman"/>
          <w:sz w:val="28"/>
          <w:szCs w:val="28"/>
        </w:rPr>
        <w:t>亿元，同比增长389%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。2019年11月，受深交所优化深市ETF交易结算模式、提升市场申赎效率影响，嘉实沪深300ETF日均成交金额跃升至4.44亿元，同比增幅达498%。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sz w:val="28"/>
          <w:szCs w:val="28"/>
        </w:rPr>
        <w:t>二是跟踪误差小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。通过基金公司精细化管理，嘉实沪深300ETF保持了较低的跟踪误差。近5年以来，嘉实沪深300ETF年均跟踪误差约为0.5%。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/>
          <w:sz w:val="28"/>
          <w:szCs w:val="28"/>
        </w:rPr>
        <w:t>三是标的运行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</w:rPr>
        <w:t>稳健</w:t>
      </w:r>
      <w:r>
        <w:rPr>
          <w:rFonts w:ascii="Times New Roman" w:hAnsi="Times New Roman" w:eastAsia="方正仿宋简体" w:cs="Times New Roman"/>
          <w:b/>
          <w:sz w:val="28"/>
          <w:szCs w:val="28"/>
        </w:rPr>
        <w:t>。</w:t>
      </w:r>
      <w:r>
        <w:rPr>
          <w:rFonts w:ascii="Times New Roman" w:hAnsi="Times New Roman" w:eastAsia="方正仿宋简体" w:cs="Times New Roman"/>
          <w:sz w:val="28"/>
          <w:szCs w:val="28"/>
        </w:rPr>
        <w:t>嘉实沪深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300ETF上市以来，交易和申购赎回业务整体运行平稳</w:t>
      </w:r>
      <w:r>
        <w:rPr>
          <w:rFonts w:ascii="Times New Roman" w:hAnsi="Times New Roman" w:eastAsia="方正仿宋简体" w:cs="Times New Roman"/>
          <w:sz w:val="28"/>
          <w:szCs w:val="28"/>
        </w:rPr>
        <w:t>。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综上</w:t>
      </w:r>
      <w:r>
        <w:rPr>
          <w:rFonts w:ascii="Times New Roman" w:hAnsi="Times New Roman" w:eastAsia="方正仿宋简体" w:cs="Times New Roman"/>
          <w:sz w:val="28"/>
          <w:szCs w:val="28"/>
        </w:rPr>
        <w:t>可见，深市首只期权的基准指数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及</w:t>
      </w:r>
      <w:r>
        <w:rPr>
          <w:rFonts w:ascii="Times New Roman" w:hAnsi="Times New Roman" w:eastAsia="方正仿宋简体" w:cs="Times New Roman"/>
          <w:sz w:val="28"/>
          <w:szCs w:val="28"/>
        </w:rPr>
        <w:t>标的ETF的优良属性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，</w:t>
      </w:r>
      <w:r>
        <w:rPr>
          <w:rFonts w:ascii="Times New Roman" w:hAnsi="Times New Roman" w:eastAsia="方正仿宋简体" w:cs="Times New Roman"/>
          <w:sz w:val="28"/>
          <w:szCs w:val="28"/>
        </w:rPr>
        <w:t>为期权合约的稳健运行、功能发挥提供了良好的基础。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（免责声明：本文仅为投资教育之目的而发布，不构成投资建议。投资者据此操作，风险自担。深圳证券交易所力求本文所涉信息准确可靠，但并不对其准确性、完整性和及时性做出任何保证，对因使用本文引发的损失不承担责任。）</w:t>
      </w:r>
    </w:p>
    <w:p>
      <w:pPr>
        <w:ind w:firstLine="700" w:firstLineChars="250"/>
        <w:rPr>
          <w:rFonts w:ascii="Times New Roman" w:hAnsi="Times New Roman" w:eastAsia="方正仿宋简体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89934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0C"/>
    <w:rsid w:val="00000E04"/>
    <w:rsid w:val="0000138E"/>
    <w:rsid w:val="000134EE"/>
    <w:rsid w:val="00017319"/>
    <w:rsid w:val="0002271E"/>
    <w:rsid w:val="00030621"/>
    <w:rsid w:val="000332BA"/>
    <w:rsid w:val="0003664F"/>
    <w:rsid w:val="00036A23"/>
    <w:rsid w:val="0003762E"/>
    <w:rsid w:val="0003780D"/>
    <w:rsid w:val="000453E6"/>
    <w:rsid w:val="000518E6"/>
    <w:rsid w:val="000523FA"/>
    <w:rsid w:val="000578F2"/>
    <w:rsid w:val="00057F02"/>
    <w:rsid w:val="000602AB"/>
    <w:rsid w:val="00060828"/>
    <w:rsid w:val="000803EF"/>
    <w:rsid w:val="000A3C7E"/>
    <w:rsid w:val="000A3C87"/>
    <w:rsid w:val="000A3EE7"/>
    <w:rsid w:val="000B1F31"/>
    <w:rsid w:val="000B4077"/>
    <w:rsid w:val="000C0870"/>
    <w:rsid w:val="000C3986"/>
    <w:rsid w:val="000C4F33"/>
    <w:rsid w:val="000D0537"/>
    <w:rsid w:val="000D2B37"/>
    <w:rsid w:val="000D68C6"/>
    <w:rsid w:val="000E0858"/>
    <w:rsid w:val="000E39A7"/>
    <w:rsid w:val="000E7EB3"/>
    <w:rsid w:val="000F293C"/>
    <w:rsid w:val="000F40E7"/>
    <w:rsid w:val="000F79FE"/>
    <w:rsid w:val="000F7F88"/>
    <w:rsid w:val="00101F7F"/>
    <w:rsid w:val="00104208"/>
    <w:rsid w:val="001069D5"/>
    <w:rsid w:val="00107758"/>
    <w:rsid w:val="00111BDC"/>
    <w:rsid w:val="00116A73"/>
    <w:rsid w:val="001213F0"/>
    <w:rsid w:val="0012454C"/>
    <w:rsid w:val="00125021"/>
    <w:rsid w:val="00125D92"/>
    <w:rsid w:val="00125D9B"/>
    <w:rsid w:val="00130405"/>
    <w:rsid w:val="00130AE6"/>
    <w:rsid w:val="00133FF9"/>
    <w:rsid w:val="00134EE3"/>
    <w:rsid w:val="00152D62"/>
    <w:rsid w:val="00153C41"/>
    <w:rsid w:val="00154BCA"/>
    <w:rsid w:val="00155171"/>
    <w:rsid w:val="001552BE"/>
    <w:rsid w:val="001617E6"/>
    <w:rsid w:val="00162278"/>
    <w:rsid w:val="00163D8E"/>
    <w:rsid w:val="00163F9E"/>
    <w:rsid w:val="0016697B"/>
    <w:rsid w:val="00166BB8"/>
    <w:rsid w:val="00170822"/>
    <w:rsid w:val="00170C34"/>
    <w:rsid w:val="00172788"/>
    <w:rsid w:val="001778B9"/>
    <w:rsid w:val="00180F1B"/>
    <w:rsid w:val="00185146"/>
    <w:rsid w:val="0019004D"/>
    <w:rsid w:val="00192BD7"/>
    <w:rsid w:val="00194AD0"/>
    <w:rsid w:val="00195466"/>
    <w:rsid w:val="0019662A"/>
    <w:rsid w:val="00197F8D"/>
    <w:rsid w:val="001A0F9C"/>
    <w:rsid w:val="001A1041"/>
    <w:rsid w:val="001A1938"/>
    <w:rsid w:val="001B6EDE"/>
    <w:rsid w:val="001B6FEF"/>
    <w:rsid w:val="001B7A22"/>
    <w:rsid w:val="001C35B6"/>
    <w:rsid w:val="001C4E04"/>
    <w:rsid w:val="001C6C49"/>
    <w:rsid w:val="001D2207"/>
    <w:rsid w:val="001E0BBE"/>
    <w:rsid w:val="001E2D89"/>
    <w:rsid w:val="001F26FA"/>
    <w:rsid w:val="001F6AC9"/>
    <w:rsid w:val="002008A7"/>
    <w:rsid w:val="002021E7"/>
    <w:rsid w:val="00210BAA"/>
    <w:rsid w:val="00211A58"/>
    <w:rsid w:val="0021333A"/>
    <w:rsid w:val="00214671"/>
    <w:rsid w:val="0021485E"/>
    <w:rsid w:val="002205E6"/>
    <w:rsid w:val="0022337A"/>
    <w:rsid w:val="00227916"/>
    <w:rsid w:val="00231F34"/>
    <w:rsid w:val="00232E33"/>
    <w:rsid w:val="002348A4"/>
    <w:rsid w:val="00235A5B"/>
    <w:rsid w:val="00240A4B"/>
    <w:rsid w:val="0024656E"/>
    <w:rsid w:val="00250FF6"/>
    <w:rsid w:val="00253371"/>
    <w:rsid w:val="00261874"/>
    <w:rsid w:val="0026221F"/>
    <w:rsid w:val="00263649"/>
    <w:rsid w:val="002679EA"/>
    <w:rsid w:val="00267F3E"/>
    <w:rsid w:val="00270B83"/>
    <w:rsid w:val="00270ECD"/>
    <w:rsid w:val="00274819"/>
    <w:rsid w:val="00274A7E"/>
    <w:rsid w:val="00282AD7"/>
    <w:rsid w:val="002840DD"/>
    <w:rsid w:val="00285CD0"/>
    <w:rsid w:val="00291827"/>
    <w:rsid w:val="002C0C28"/>
    <w:rsid w:val="002C15DD"/>
    <w:rsid w:val="002D4BA3"/>
    <w:rsid w:val="002E1E19"/>
    <w:rsid w:val="002E34A6"/>
    <w:rsid w:val="002E61D6"/>
    <w:rsid w:val="002E6680"/>
    <w:rsid w:val="002E7A78"/>
    <w:rsid w:val="002F2368"/>
    <w:rsid w:val="002F4CD6"/>
    <w:rsid w:val="002F516B"/>
    <w:rsid w:val="002F63AA"/>
    <w:rsid w:val="00304B83"/>
    <w:rsid w:val="003171EF"/>
    <w:rsid w:val="00320142"/>
    <w:rsid w:val="00324BCF"/>
    <w:rsid w:val="00325B2E"/>
    <w:rsid w:val="00330A42"/>
    <w:rsid w:val="003348A2"/>
    <w:rsid w:val="003356A6"/>
    <w:rsid w:val="0033696E"/>
    <w:rsid w:val="0033702D"/>
    <w:rsid w:val="00352651"/>
    <w:rsid w:val="00352965"/>
    <w:rsid w:val="003568FF"/>
    <w:rsid w:val="00362148"/>
    <w:rsid w:val="0036250E"/>
    <w:rsid w:val="003645B8"/>
    <w:rsid w:val="00365066"/>
    <w:rsid w:val="0038703C"/>
    <w:rsid w:val="003915A8"/>
    <w:rsid w:val="00393C74"/>
    <w:rsid w:val="00397C9A"/>
    <w:rsid w:val="003C1A1A"/>
    <w:rsid w:val="003C4BC5"/>
    <w:rsid w:val="003C763B"/>
    <w:rsid w:val="003C7A2F"/>
    <w:rsid w:val="003D1673"/>
    <w:rsid w:val="003D34FA"/>
    <w:rsid w:val="003F2298"/>
    <w:rsid w:val="003F2CA9"/>
    <w:rsid w:val="003F3E38"/>
    <w:rsid w:val="003F712B"/>
    <w:rsid w:val="00424D60"/>
    <w:rsid w:val="004269D3"/>
    <w:rsid w:val="00427713"/>
    <w:rsid w:val="00427BC3"/>
    <w:rsid w:val="00435240"/>
    <w:rsid w:val="00441EFC"/>
    <w:rsid w:val="00442080"/>
    <w:rsid w:val="00443B51"/>
    <w:rsid w:val="00443C2D"/>
    <w:rsid w:val="004535BC"/>
    <w:rsid w:val="0045540E"/>
    <w:rsid w:val="00461727"/>
    <w:rsid w:val="0046319B"/>
    <w:rsid w:val="00466475"/>
    <w:rsid w:val="00472C00"/>
    <w:rsid w:val="00473292"/>
    <w:rsid w:val="00476408"/>
    <w:rsid w:val="00477757"/>
    <w:rsid w:val="00481FB0"/>
    <w:rsid w:val="004821E2"/>
    <w:rsid w:val="00485FE5"/>
    <w:rsid w:val="00486157"/>
    <w:rsid w:val="00495042"/>
    <w:rsid w:val="00497A6A"/>
    <w:rsid w:val="004A02FE"/>
    <w:rsid w:val="004A0A76"/>
    <w:rsid w:val="004A31B9"/>
    <w:rsid w:val="004A4F89"/>
    <w:rsid w:val="004A7B07"/>
    <w:rsid w:val="004B3843"/>
    <w:rsid w:val="004B7B5F"/>
    <w:rsid w:val="004C0CA2"/>
    <w:rsid w:val="004C20C0"/>
    <w:rsid w:val="004C56C3"/>
    <w:rsid w:val="004C5CED"/>
    <w:rsid w:val="004E3D8B"/>
    <w:rsid w:val="004F1978"/>
    <w:rsid w:val="004F6EEB"/>
    <w:rsid w:val="0050175A"/>
    <w:rsid w:val="00504A09"/>
    <w:rsid w:val="00504B14"/>
    <w:rsid w:val="00507AEC"/>
    <w:rsid w:val="00511436"/>
    <w:rsid w:val="005140C6"/>
    <w:rsid w:val="00514430"/>
    <w:rsid w:val="00514D2E"/>
    <w:rsid w:val="00515E26"/>
    <w:rsid w:val="00520CBE"/>
    <w:rsid w:val="00535FD9"/>
    <w:rsid w:val="0054164D"/>
    <w:rsid w:val="005418E5"/>
    <w:rsid w:val="00551655"/>
    <w:rsid w:val="00565248"/>
    <w:rsid w:val="00567295"/>
    <w:rsid w:val="00570B5D"/>
    <w:rsid w:val="005748F9"/>
    <w:rsid w:val="005767B6"/>
    <w:rsid w:val="00581D83"/>
    <w:rsid w:val="00585E4D"/>
    <w:rsid w:val="005864E5"/>
    <w:rsid w:val="005A470B"/>
    <w:rsid w:val="005A5CF4"/>
    <w:rsid w:val="005B03AE"/>
    <w:rsid w:val="005B134F"/>
    <w:rsid w:val="005B215A"/>
    <w:rsid w:val="005B3DF5"/>
    <w:rsid w:val="005B5E0C"/>
    <w:rsid w:val="005C0963"/>
    <w:rsid w:val="005C32EF"/>
    <w:rsid w:val="005C3DD2"/>
    <w:rsid w:val="005C4311"/>
    <w:rsid w:val="005C69A0"/>
    <w:rsid w:val="005C6E23"/>
    <w:rsid w:val="005C7F07"/>
    <w:rsid w:val="005D14D7"/>
    <w:rsid w:val="005E0843"/>
    <w:rsid w:val="005E34B2"/>
    <w:rsid w:val="005E39E4"/>
    <w:rsid w:val="005F1E09"/>
    <w:rsid w:val="005F4698"/>
    <w:rsid w:val="0060039C"/>
    <w:rsid w:val="00604533"/>
    <w:rsid w:val="00604DFF"/>
    <w:rsid w:val="006078D1"/>
    <w:rsid w:val="006258CC"/>
    <w:rsid w:val="0062646B"/>
    <w:rsid w:val="0062678C"/>
    <w:rsid w:val="00637F63"/>
    <w:rsid w:val="006404BC"/>
    <w:rsid w:val="00640684"/>
    <w:rsid w:val="00640B11"/>
    <w:rsid w:val="00643C07"/>
    <w:rsid w:val="00646616"/>
    <w:rsid w:val="00647829"/>
    <w:rsid w:val="00651FD0"/>
    <w:rsid w:val="0065674B"/>
    <w:rsid w:val="00657DB7"/>
    <w:rsid w:val="00665AA1"/>
    <w:rsid w:val="006739D3"/>
    <w:rsid w:val="006774AC"/>
    <w:rsid w:val="006825DC"/>
    <w:rsid w:val="00683599"/>
    <w:rsid w:val="0068509B"/>
    <w:rsid w:val="006930E1"/>
    <w:rsid w:val="00694A12"/>
    <w:rsid w:val="006979B5"/>
    <w:rsid w:val="006B202D"/>
    <w:rsid w:val="006C3687"/>
    <w:rsid w:val="006C4D87"/>
    <w:rsid w:val="006C6805"/>
    <w:rsid w:val="006D259D"/>
    <w:rsid w:val="006D4AEE"/>
    <w:rsid w:val="006D6AF1"/>
    <w:rsid w:val="006D77EB"/>
    <w:rsid w:val="006E00AC"/>
    <w:rsid w:val="006E71EE"/>
    <w:rsid w:val="006F4783"/>
    <w:rsid w:val="00711147"/>
    <w:rsid w:val="00715795"/>
    <w:rsid w:val="00720774"/>
    <w:rsid w:val="0072281C"/>
    <w:rsid w:val="00724531"/>
    <w:rsid w:val="00726CD9"/>
    <w:rsid w:val="00726EB4"/>
    <w:rsid w:val="007271B3"/>
    <w:rsid w:val="00727671"/>
    <w:rsid w:val="00733538"/>
    <w:rsid w:val="00735D96"/>
    <w:rsid w:val="00744BFA"/>
    <w:rsid w:val="00750AF3"/>
    <w:rsid w:val="007556A5"/>
    <w:rsid w:val="007578CC"/>
    <w:rsid w:val="00761F18"/>
    <w:rsid w:val="007639B7"/>
    <w:rsid w:val="00770BE6"/>
    <w:rsid w:val="00790FC0"/>
    <w:rsid w:val="00795371"/>
    <w:rsid w:val="00796C71"/>
    <w:rsid w:val="007A65EA"/>
    <w:rsid w:val="007A7C0B"/>
    <w:rsid w:val="007B2094"/>
    <w:rsid w:val="007B4A76"/>
    <w:rsid w:val="007B5D8A"/>
    <w:rsid w:val="007C16D8"/>
    <w:rsid w:val="007C793D"/>
    <w:rsid w:val="007D0620"/>
    <w:rsid w:val="007D21E6"/>
    <w:rsid w:val="007D498C"/>
    <w:rsid w:val="007D573A"/>
    <w:rsid w:val="007E2D9D"/>
    <w:rsid w:val="007E3286"/>
    <w:rsid w:val="007E7984"/>
    <w:rsid w:val="007F2BA2"/>
    <w:rsid w:val="007F2CE0"/>
    <w:rsid w:val="007F59BF"/>
    <w:rsid w:val="00802048"/>
    <w:rsid w:val="00803CAB"/>
    <w:rsid w:val="008063E2"/>
    <w:rsid w:val="00813950"/>
    <w:rsid w:val="00815C65"/>
    <w:rsid w:val="008244B7"/>
    <w:rsid w:val="00824C1F"/>
    <w:rsid w:val="00825D78"/>
    <w:rsid w:val="00830C7D"/>
    <w:rsid w:val="00833177"/>
    <w:rsid w:val="00841735"/>
    <w:rsid w:val="00843DD3"/>
    <w:rsid w:val="00844C5C"/>
    <w:rsid w:val="008571E2"/>
    <w:rsid w:val="00861E6A"/>
    <w:rsid w:val="008620F0"/>
    <w:rsid w:val="00862775"/>
    <w:rsid w:val="00866D6F"/>
    <w:rsid w:val="00872A14"/>
    <w:rsid w:val="00880D0C"/>
    <w:rsid w:val="00885293"/>
    <w:rsid w:val="00886C8B"/>
    <w:rsid w:val="00891EDD"/>
    <w:rsid w:val="008A532D"/>
    <w:rsid w:val="008B0D2E"/>
    <w:rsid w:val="008B1A78"/>
    <w:rsid w:val="008B4AD2"/>
    <w:rsid w:val="008C4DF8"/>
    <w:rsid w:val="008D0D25"/>
    <w:rsid w:val="008D1DFE"/>
    <w:rsid w:val="008D6E2F"/>
    <w:rsid w:val="008E0D01"/>
    <w:rsid w:val="008E200A"/>
    <w:rsid w:val="008E63E6"/>
    <w:rsid w:val="008F06FA"/>
    <w:rsid w:val="008F1DF5"/>
    <w:rsid w:val="008F2739"/>
    <w:rsid w:val="008F3451"/>
    <w:rsid w:val="008F3EAB"/>
    <w:rsid w:val="008F5266"/>
    <w:rsid w:val="008F5848"/>
    <w:rsid w:val="008F669A"/>
    <w:rsid w:val="008F693D"/>
    <w:rsid w:val="00904B9E"/>
    <w:rsid w:val="00906933"/>
    <w:rsid w:val="009131E8"/>
    <w:rsid w:val="009178D5"/>
    <w:rsid w:val="00931E17"/>
    <w:rsid w:val="0093660D"/>
    <w:rsid w:val="0094278E"/>
    <w:rsid w:val="00944476"/>
    <w:rsid w:val="009511CF"/>
    <w:rsid w:val="009545F4"/>
    <w:rsid w:val="00956E70"/>
    <w:rsid w:val="00957F08"/>
    <w:rsid w:val="009618D5"/>
    <w:rsid w:val="00972440"/>
    <w:rsid w:val="00986317"/>
    <w:rsid w:val="009870A3"/>
    <w:rsid w:val="00997196"/>
    <w:rsid w:val="009A41A0"/>
    <w:rsid w:val="009B03EC"/>
    <w:rsid w:val="009B483A"/>
    <w:rsid w:val="009B5278"/>
    <w:rsid w:val="009C2C83"/>
    <w:rsid w:val="009C4D54"/>
    <w:rsid w:val="009D210C"/>
    <w:rsid w:val="009D323E"/>
    <w:rsid w:val="009D401F"/>
    <w:rsid w:val="009D47F3"/>
    <w:rsid w:val="009D556C"/>
    <w:rsid w:val="009E178A"/>
    <w:rsid w:val="009E2AAA"/>
    <w:rsid w:val="009E4C16"/>
    <w:rsid w:val="009F5C86"/>
    <w:rsid w:val="009F5E8E"/>
    <w:rsid w:val="00A00E58"/>
    <w:rsid w:val="00A0230A"/>
    <w:rsid w:val="00A048C5"/>
    <w:rsid w:val="00A06361"/>
    <w:rsid w:val="00A07550"/>
    <w:rsid w:val="00A15BA6"/>
    <w:rsid w:val="00A365C2"/>
    <w:rsid w:val="00A42163"/>
    <w:rsid w:val="00A526B0"/>
    <w:rsid w:val="00A52E60"/>
    <w:rsid w:val="00A543DC"/>
    <w:rsid w:val="00A5504D"/>
    <w:rsid w:val="00A62586"/>
    <w:rsid w:val="00A64910"/>
    <w:rsid w:val="00A67D84"/>
    <w:rsid w:val="00A74DFE"/>
    <w:rsid w:val="00A75012"/>
    <w:rsid w:val="00A755B3"/>
    <w:rsid w:val="00A75978"/>
    <w:rsid w:val="00A77D3C"/>
    <w:rsid w:val="00A82ED2"/>
    <w:rsid w:val="00A8599A"/>
    <w:rsid w:val="00A93FE1"/>
    <w:rsid w:val="00A94AC8"/>
    <w:rsid w:val="00AA076D"/>
    <w:rsid w:val="00AA0947"/>
    <w:rsid w:val="00AA58CE"/>
    <w:rsid w:val="00AB365C"/>
    <w:rsid w:val="00AC3911"/>
    <w:rsid w:val="00AC5020"/>
    <w:rsid w:val="00AC59D7"/>
    <w:rsid w:val="00AC5B62"/>
    <w:rsid w:val="00AC5BE4"/>
    <w:rsid w:val="00AC64CE"/>
    <w:rsid w:val="00AD0CC4"/>
    <w:rsid w:val="00AD1490"/>
    <w:rsid w:val="00AD32E0"/>
    <w:rsid w:val="00AD44D3"/>
    <w:rsid w:val="00AD6280"/>
    <w:rsid w:val="00AD7A9E"/>
    <w:rsid w:val="00AD7DAF"/>
    <w:rsid w:val="00AE30B3"/>
    <w:rsid w:val="00AE5ED0"/>
    <w:rsid w:val="00AF0696"/>
    <w:rsid w:val="00AF68C3"/>
    <w:rsid w:val="00B022C5"/>
    <w:rsid w:val="00B03358"/>
    <w:rsid w:val="00B04BF9"/>
    <w:rsid w:val="00B07F17"/>
    <w:rsid w:val="00B10BCA"/>
    <w:rsid w:val="00B144D8"/>
    <w:rsid w:val="00B15149"/>
    <w:rsid w:val="00B157AA"/>
    <w:rsid w:val="00B31060"/>
    <w:rsid w:val="00B408C5"/>
    <w:rsid w:val="00B4164B"/>
    <w:rsid w:val="00B50019"/>
    <w:rsid w:val="00B504B5"/>
    <w:rsid w:val="00B53DD0"/>
    <w:rsid w:val="00B544B8"/>
    <w:rsid w:val="00B551F0"/>
    <w:rsid w:val="00B5737C"/>
    <w:rsid w:val="00B644FF"/>
    <w:rsid w:val="00B7076D"/>
    <w:rsid w:val="00B74D46"/>
    <w:rsid w:val="00B7573D"/>
    <w:rsid w:val="00B92F34"/>
    <w:rsid w:val="00BA7A78"/>
    <w:rsid w:val="00BA7B8A"/>
    <w:rsid w:val="00BB41DD"/>
    <w:rsid w:val="00BB5EE1"/>
    <w:rsid w:val="00BB65B4"/>
    <w:rsid w:val="00BC6F62"/>
    <w:rsid w:val="00BD0A4B"/>
    <w:rsid w:val="00BD1643"/>
    <w:rsid w:val="00BD5EE4"/>
    <w:rsid w:val="00BE033C"/>
    <w:rsid w:val="00BE11C4"/>
    <w:rsid w:val="00BE44FA"/>
    <w:rsid w:val="00BF1AC6"/>
    <w:rsid w:val="00BF6346"/>
    <w:rsid w:val="00BF6B31"/>
    <w:rsid w:val="00BF7456"/>
    <w:rsid w:val="00C01BB4"/>
    <w:rsid w:val="00C052F1"/>
    <w:rsid w:val="00C05C45"/>
    <w:rsid w:val="00C13E2B"/>
    <w:rsid w:val="00C16906"/>
    <w:rsid w:val="00C24700"/>
    <w:rsid w:val="00C26B44"/>
    <w:rsid w:val="00C3030E"/>
    <w:rsid w:val="00C363E7"/>
    <w:rsid w:val="00C3694F"/>
    <w:rsid w:val="00C37118"/>
    <w:rsid w:val="00C37780"/>
    <w:rsid w:val="00C40B05"/>
    <w:rsid w:val="00C45C60"/>
    <w:rsid w:val="00C47D3B"/>
    <w:rsid w:val="00C47F9A"/>
    <w:rsid w:val="00C6346B"/>
    <w:rsid w:val="00C6412F"/>
    <w:rsid w:val="00C70981"/>
    <w:rsid w:val="00C71DE8"/>
    <w:rsid w:val="00C72B0C"/>
    <w:rsid w:val="00C74F97"/>
    <w:rsid w:val="00C75394"/>
    <w:rsid w:val="00C7663F"/>
    <w:rsid w:val="00C82530"/>
    <w:rsid w:val="00C8746F"/>
    <w:rsid w:val="00C905AE"/>
    <w:rsid w:val="00C9072C"/>
    <w:rsid w:val="00CA19B9"/>
    <w:rsid w:val="00CA2569"/>
    <w:rsid w:val="00CA304C"/>
    <w:rsid w:val="00CA4101"/>
    <w:rsid w:val="00CB06AB"/>
    <w:rsid w:val="00CB1F91"/>
    <w:rsid w:val="00CC1494"/>
    <w:rsid w:val="00CE32E0"/>
    <w:rsid w:val="00CE44CD"/>
    <w:rsid w:val="00CE54B0"/>
    <w:rsid w:val="00CE7DB0"/>
    <w:rsid w:val="00CF2EC4"/>
    <w:rsid w:val="00CF3D7F"/>
    <w:rsid w:val="00CF458E"/>
    <w:rsid w:val="00CF78EE"/>
    <w:rsid w:val="00D02FD5"/>
    <w:rsid w:val="00D06DAE"/>
    <w:rsid w:val="00D2444E"/>
    <w:rsid w:val="00D261FD"/>
    <w:rsid w:val="00D33044"/>
    <w:rsid w:val="00D36D21"/>
    <w:rsid w:val="00D4724A"/>
    <w:rsid w:val="00D504A0"/>
    <w:rsid w:val="00D54279"/>
    <w:rsid w:val="00D60562"/>
    <w:rsid w:val="00D666A7"/>
    <w:rsid w:val="00D70D69"/>
    <w:rsid w:val="00D72037"/>
    <w:rsid w:val="00D722D1"/>
    <w:rsid w:val="00D72808"/>
    <w:rsid w:val="00D745A9"/>
    <w:rsid w:val="00D74928"/>
    <w:rsid w:val="00D74EEE"/>
    <w:rsid w:val="00D81E8B"/>
    <w:rsid w:val="00D8243E"/>
    <w:rsid w:val="00D87683"/>
    <w:rsid w:val="00D96A66"/>
    <w:rsid w:val="00DA089E"/>
    <w:rsid w:val="00DA3497"/>
    <w:rsid w:val="00DA5F40"/>
    <w:rsid w:val="00DA77EF"/>
    <w:rsid w:val="00DB2D11"/>
    <w:rsid w:val="00DC2FD4"/>
    <w:rsid w:val="00DC3426"/>
    <w:rsid w:val="00DC50BD"/>
    <w:rsid w:val="00DD28F6"/>
    <w:rsid w:val="00DE0204"/>
    <w:rsid w:val="00DE47AB"/>
    <w:rsid w:val="00DF1B7B"/>
    <w:rsid w:val="00DF6255"/>
    <w:rsid w:val="00DF7147"/>
    <w:rsid w:val="00E04311"/>
    <w:rsid w:val="00E047B1"/>
    <w:rsid w:val="00E06F27"/>
    <w:rsid w:val="00E07DED"/>
    <w:rsid w:val="00E12383"/>
    <w:rsid w:val="00E12D8A"/>
    <w:rsid w:val="00E14BCA"/>
    <w:rsid w:val="00E22895"/>
    <w:rsid w:val="00E32773"/>
    <w:rsid w:val="00E44397"/>
    <w:rsid w:val="00E5079A"/>
    <w:rsid w:val="00E66899"/>
    <w:rsid w:val="00E75C47"/>
    <w:rsid w:val="00E77256"/>
    <w:rsid w:val="00E878D0"/>
    <w:rsid w:val="00E90EE1"/>
    <w:rsid w:val="00E94D05"/>
    <w:rsid w:val="00E95BDA"/>
    <w:rsid w:val="00E96E75"/>
    <w:rsid w:val="00E97603"/>
    <w:rsid w:val="00E97CA6"/>
    <w:rsid w:val="00E97E77"/>
    <w:rsid w:val="00EA2086"/>
    <w:rsid w:val="00EA41A3"/>
    <w:rsid w:val="00EB6C3B"/>
    <w:rsid w:val="00EC7286"/>
    <w:rsid w:val="00EC77FD"/>
    <w:rsid w:val="00ED67D0"/>
    <w:rsid w:val="00ED7A54"/>
    <w:rsid w:val="00EE282B"/>
    <w:rsid w:val="00EE3160"/>
    <w:rsid w:val="00EF26F4"/>
    <w:rsid w:val="00EF327D"/>
    <w:rsid w:val="00EF374F"/>
    <w:rsid w:val="00EF67FB"/>
    <w:rsid w:val="00F02653"/>
    <w:rsid w:val="00F14DA5"/>
    <w:rsid w:val="00F16CB4"/>
    <w:rsid w:val="00F20CF7"/>
    <w:rsid w:val="00F25B26"/>
    <w:rsid w:val="00F302BC"/>
    <w:rsid w:val="00F32EDE"/>
    <w:rsid w:val="00F33159"/>
    <w:rsid w:val="00F45AF0"/>
    <w:rsid w:val="00F4658A"/>
    <w:rsid w:val="00F468D7"/>
    <w:rsid w:val="00F46E14"/>
    <w:rsid w:val="00F47730"/>
    <w:rsid w:val="00F5074D"/>
    <w:rsid w:val="00F50782"/>
    <w:rsid w:val="00F60116"/>
    <w:rsid w:val="00F6506D"/>
    <w:rsid w:val="00F65A68"/>
    <w:rsid w:val="00F7058F"/>
    <w:rsid w:val="00F70F52"/>
    <w:rsid w:val="00F7267B"/>
    <w:rsid w:val="00F738A4"/>
    <w:rsid w:val="00F802EB"/>
    <w:rsid w:val="00F825EF"/>
    <w:rsid w:val="00F85636"/>
    <w:rsid w:val="00F86772"/>
    <w:rsid w:val="00F9323C"/>
    <w:rsid w:val="00F936DE"/>
    <w:rsid w:val="00F9591D"/>
    <w:rsid w:val="00FA1DBC"/>
    <w:rsid w:val="00FA21E2"/>
    <w:rsid w:val="00FA292A"/>
    <w:rsid w:val="00FA429A"/>
    <w:rsid w:val="00FC3603"/>
    <w:rsid w:val="00FC72A5"/>
    <w:rsid w:val="00FD0DD0"/>
    <w:rsid w:val="00FD3180"/>
    <w:rsid w:val="00FD6A47"/>
    <w:rsid w:val="00FE1FF1"/>
    <w:rsid w:val="00FE7043"/>
    <w:rsid w:val="00FF2631"/>
    <w:rsid w:val="00FF45E7"/>
    <w:rsid w:val="00FF6B2D"/>
    <w:rsid w:val="67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9C08C-D899-492F-BAE3-8EABEA1F4CAA}">
  <ds:schemaRefs/>
</ds:datastoreItem>
</file>

<file path=customXml/itemProps3.xml><?xml version="1.0" encoding="utf-8"?>
<ds:datastoreItem xmlns:ds="http://schemas.openxmlformats.org/officeDocument/2006/customXml" ds:itemID="{5C1A5946-4A81-40D4-AB29-B51421D1741B}">
  <ds:schemaRefs/>
</ds:datastoreItem>
</file>

<file path=customXml/itemProps4.xml><?xml version="1.0" encoding="utf-8"?>
<ds:datastoreItem xmlns:ds="http://schemas.openxmlformats.org/officeDocument/2006/customXml" ds:itemID="{AECB0A17-F5C3-4D2C-8FC8-710ACA7B7E3D}">
  <ds:schemaRefs/>
</ds:datastoreItem>
</file>

<file path=customXml/itemProps5.xml><?xml version="1.0" encoding="utf-8"?>
<ds:datastoreItem xmlns:ds="http://schemas.openxmlformats.org/officeDocument/2006/customXml" ds:itemID="{35D7FAD9-4D63-4352-B45A-CE56A0D23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5A288F6B</Template>
  <Pages>1</Pages>
  <Words>200</Words>
  <Characters>1145</Characters>
  <Lines>9</Lines>
  <Paragraphs>2</Paragraphs>
  <TotalTime>4052</TotalTime>
  <ScaleCrop>false</ScaleCrop>
  <LinksUpToDate>false</LinksUpToDate>
  <CharactersWithSpaces>1343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2019-06-16T03:57:00Z</dcterms:created>
  <dc:creator>liuran</dc:creator>
  <cp:lastModifiedBy>原青1426759073</cp:lastModifiedBy>
  <cp:lastPrinted>2019-12-17T01:09:00Z</cp:lastPrinted>
  <dcterms:modified xsi:type="dcterms:W3CDTF">2020-04-03T06:58:03Z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  <property fmtid="{D5CDD505-2E9C-101B-9397-08002B2CF9AE}" pid="3" name="KSOProductBuildVer">
    <vt:lpwstr>2052-11.1.0.9584</vt:lpwstr>
  </property>
</Properties>
</file>