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AWFK6GO7RSA00BGRARNKL0R7ZCMOXYRES0XWJECXFFRTGCTZIBRVC0EFY9TPC8RBEM6SOLHZHK78IEJROFTIFF78RMMWMLB8SOD0HB360C7BE796BAB94367FDD525B1F3CC88A" Type="http://schemas.microsoft.com/office/2006/relationships/officeDocumentMain" Target="NULL"/><Relationship Id="CVWMK6BU797Q05BGRKR8RLJF7NZMOAGREN06XJECXFF8TQ5TZ7BRQCJUFY9TPD6RBFM6SOLHZI778IJJRXFADFFN89QMWLLBAEOO0HB3B1D9843F378697FC5DEA8BFD83C6EC17"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33" w:rsidRPr="00A30DA4" w:rsidRDefault="004F1B33" w:rsidP="002D35A5"/>
    <w:p w:rsidR="004F1B33" w:rsidRPr="00A30DA4" w:rsidRDefault="004F1B33" w:rsidP="002D35A5"/>
    <w:p w:rsidR="004F1B33" w:rsidRPr="00A30DA4" w:rsidRDefault="004F1B33" w:rsidP="002D35A5"/>
    <w:p w:rsidR="004F1B33" w:rsidRPr="00A30DA4" w:rsidRDefault="004F1B33" w:rsidP="00E129F1">
      <w:pPr>
        <w:spacing w:line="560" w:lineRule="exact"/>
        <w:ind w:leftChars="-50" w:left="-105" w:rightChars="-50" w:right="-105"/>
        <w:jc w:val="center"/>
        <w:rPr>
          <w:rFonts w:ascii="Times New Roman" w:eastAsia="方正小标宋简体" w:hAnsi="Times New Roman"/>
          <w:b/>
          <w:sz w:val="40"/>
          <w:szCs w:val="40"/>
        </w:rPr>
      </w:pPr>
      <w:r w:rsidRPr="008F5ED7">
        <w:rPr>
          <w:rFonts w:ascii="Times New Roman" w:eastAsia="方正小标宋简体" w:hAnsi="Times New Roman" w:hint="eastAsia"/>
          <w:b/>
          <w:sz w:val="40"/>
          <w:szCs w:val="40"/>
        </w:rPr>
        <w:t>深市期权投教</w:t>
      </w:r>
      <w:proofErr w:type="gramStart"/>
      <w:r w:rsidRPr="008F5ED7">
        <w:rPr>
          <w:rFonts w:ascii="Times New Roman" w:eastAsia="方正小标宋简体" w:hAnsi="Times New Roman" w:hint="eastAsia"/>
          <w:b/>
          <w:sz w:val="40"/>
          <w:szCs w:val="40"/>
        </w:rPr>
        <w:t>丨</w:t>
      </w:r>
      <w:proofErr w:type="gramEnd"/>
      <w:r>
        <w:rPr>
          <w:rFonts w:ascii="Times New Roman" w:eastAsia="方正小标宋简体" w:hAnsi="Times New Roman" w:hint="eastAsia"/>
          <w:b/>
          <w:sz w:val="40"/>
          <w:szCs w:val="40"/>
        </w:rPr>
        <w:t>一</w:t>
      </w:r>
      <w:r w:rsidRPr="00A30DA4">
        <w:rPr>
          <w:rFonts w:ascii="Times New Roman" w:eastAsia="方正小标宋简体" w:hAnsi="Times New Roman" w:hint="eastAsia"/>
          <w:b/>
          <w:sz w:val="40"/>
          <w:szCs w:val="40"/>
        </w:rPr>
        <w:t>级投资者</w:t>
      </w:r>
      <w:r>
        <w:rPr>
          <w:rFonts w:ascii="Times New Roman" w:eastAsia="方正小标宋简体" w:hAnsi="Times New Roman" w:hint="eastAsia"/>
          <w:b/>
          <w:sz w:val="40"/>
          <w:szCs w:val="40"/>
        </w:rPr>
        <w:t>交易</w:t>
      </w:r>
      <w:r w:rsidRPr="00A30DA4">
        <w:rPr>
          <w:rFonts w:ascii="Times New Roman" w:eastAsia="方正小标宋简体" w:hAnsi="Times New Roman" w:hint="eastAsia"/>
          <w:b/>
          <w:sz w:val="40"/>
          <w:szCs w:val="40"/>
        </w:rPr>
        <w:t>策略及注意事项</w:t>
      </w:r>
    </w:p>
    <w:p w:rsidR="004F1B33" w:rsidRPr="00A56703" w:rsidRDefault="004F1B33" w:rsidP="002D35A5"/>
    <w:p w:rsidR="004F1B33" w:rsidRPr="00A30DA4" w:rsidRDefault="004F1B33" w:rsidP="002D35A5"/>
    <w:p w:rsidR="004F1B33" w:rsidRPr="008F5ED7" w:rsidRDefault="004F1B33" w:rsidP="002D35A5">
      <w:pPr>
        <w:rPr>
          <w:sz w:val="18"/>
        </w:rPr>
      </w:pPr>
    </w:p>
    <w:p w:rsidR="005E52D6" w:rsidRDefault="007F1497" w:rsidP="00652065">
      <w:pPr>
        <w:spacing w:line="560" w:lineRule="exact"/>
        <w:ind w:firstLineChars="200" w:firstLine="560"/>
        <w:rPr>
          <w:rFonts w:ascii="Times New Roman" w:eastAsia="方正仿宋简体" w:hAnsi="Times New Roman" w:cs="Times New Roman"/>
          <w:sz w:val="28"/>
          <w:szCs w:val="24"/>
        </w:rPr>
      </w:pPr>
      <w:r w:rsidRPr="004F1B33">
        <w:rPr>
          <w:rFonts w:ascii="Times New Roman" w:eastAsia="方正仿宋简体" w:hAnsi="Times New Roman" w:cs="Times New Roman"/>
          <w:sz w:val="28"/>
          <w:szCs w:val="24"/>
        </w:rPr>
        <w:t>为引导投资者理性参与期权交易，</w:t>
      </w:r>
      <w:r w:rsidR="008102B9">
        <w:rPr>
          <w:rFonts w:ascii="Times New Roman" w:eastAsia="方正仿宋简体" w:hAnsi="Times New Roman" w:cs="Times New Roman" w:hint="eastAsia"/>
          <w:sz w:val="28"/>
          <w:szCs w:val="24"/>
        </w:rPr>
        <w:t>深交所</w:t>
      </w:r>
      <w:r w:rsidR="00BA2F5C">
        <w:rPr>
          <w:rFonts w:ascii="Times New Roman" w:eastAsia="方正仿宋简体" w:hAnsi="Times New Roman" w:cs="Times New Roman" w:hint="eastAsia"/>
          <w:sz w:val="28"/>
          <w:szCs w:val="24"/>
        </w:rPr>
        <w:t>要求期权经营机构</w:t>
      </w:r>
      <w:r w:rsidR="00320068">
        <w:rPr>
          <w:rFonts w:ascii="Times New Roman" w:eastAsia="方正仿宋简体" w:hAnsi="Times New Roman" w:cs="Times New Roman" w:hint="eastAsia"/>
          <w:sz w:val="28"/>
          <w:szCs w:val="24"/>
        </w:rPr>
        <w:t>对个人投资者参与期权交易的权限进行分级管理。</w:t>
      </w:r>
      <w:r w:rsidR="00AE7BA0">
        <w:rPr>
          <w:rFonts w:ascii="Times New Roman" w:eastAsia="方正仿宋简体" w:hAnsi="Times New Roman" w:cs="Times New Roman"/>
          <w:sz w:val="28"/>
          <w:szCs w:val="24"/>
        </w:rPr>
        <w:t>投资者交易权限级别</w:t>
      </w:r>
      <w:r w:rsidR="00BA1542">
        <w:rPr>
          <w:rFonts w:ascii="Times New Roman" w:eastAsia="方正仿宋简体" w:hAnsi="Times New Roman" w:cs="Times New Roman"/>
          <w:sz w:val="28"/>
          <w:szCs w:val="24"/>
        </w:rPr>
        <w:t>从低到高</w:t>
      </w:r>
      <w:r w:rsidR="00EA3826">
        <w:rPr>
          <w:rFonts w:ascii="Times New Roman" w:eastAsia="方正仿宋简体" w:hAnsi="Times New Roman" w:cs="Times New Roman" w:hint="eastAsia"/>
          <w:sz w:val="28"/>
          <w:szCs w:val="24"/>
        </w:rPr>
        <w:t>分为</w:t>
      </w:r>
      <w:r w:rsidR="00EA3826">
        <w:rPr>
          <w:rFonts w:ascii="Times New Roman" w:eastAsia="方正仿宋简体" w:hAnsi="Times New Roman" w:cs="Times New Roman"/>
          <w:sz w:val="28"/>
          <w:szCs w:val="24"/>
        </w:rPr>
        <w:t>一级</w:t>
      </w:r>
      <w:r w:rsidR="00EA3826">
        <w:rPr>
          <w:rFonts w:ascii="Times New Roman" w:eastAsia="方正仿宋简体" w:hAnsi="Times New Roman" w:cs="Times New Roman" w:hint="eastAsia"/>
          <w:sz w:val="28"/>
          <w:szCs w:val="24"/>
        </w:rPr>
        <w:t>、</w:t>
      </w:r>
      <w:r w:rsidR="00EA3826">
        <w:rPr>
          <w:rFonts w:ascii="Times New Roman" w:eastAsia="方正仿宋简体" w:hAnsi="Times New Roman" w:cs="Times New Roman"/>
          <w:sz w:val="28"/>
          <w:szCs w:val="24"/>
        </w:rPr>
        <w:t>二级</w:t>
      </w:r>
      <w:r w:rsidR="00EA3826">
        <w:rPr>
          <w:rFonts w:ascii="Times New Roman" w:eastAsia="方正仿宋简体" w:hAnsi="Times New Roman" w:cs="Times New Roman" w:hint="eastAsia"/>
          <w:sz w:val="28"/>
          <w:szCs w:val="24"/>
        </w:rPr>
        <w:t>、</w:t>
      </w:r>
      <w:r w:rsidR="00AE7BA0">
        <w:rPr>
          <w:rFonts w:ascii="Times New Roman" w:eastAsia="方正仿宋简体" w:hAnsi="Times New Roman" w:cs="Times New Roman"/>
          <w:sz w:val="28"/>
          <w:szCs w:val="24"/>
        </w:rPr>
        <w:t>三级</w:t>
      </w:r>
      <w:r w:rsidR="00F6592E">
        <w:rPr>
          <w:rFonts w:ascii="Times New Roman" w:eastAsia="方正仿宋简体" w:hAnsi="Times New Roman" w:cs="Times New Roman" w:hint="eastAsia"/>
          <w:sz w:val="28"/>
          <w:szCs w:val="24"/>
        </w:rPr>
        <w:t>，</w:t>
      </w:r>
      <w:r w:rsidR="0091784A">
        <w:rPr>
          <w:rFonts w:ascii="Times New Roman" w:eastAsia="方正仿宋简体" w:hAnsi="Times New Roman" w:cs="Times New Roman"/>
          <w:sz w:val="28"/>
          <w:szCs w:val="24"/>
        </w:rPr>
        <w:t>投资者</w:t>
      </w:r>
      <w:r w:rsidR="002D35A5">
        <w:rPr>
          <w:rFonts w:ascii="Times New Roman" w:eastAsia="方正仿宋简体" w:hAnsi="Times New Roman" w:cs="Times New Roman" w:hint="eastAsia"/>
          <w:sz w:val="28"/>
          <w:szCs w:val="24"/>
        </w:rPr>
        <w:t>应</w:t>
      </w:r>
      <w:r w:rsidR="005E52D6">
        <w:rPr>
          <w:rFonts w:ascii="Times New Roman" w:eastAsia="方正仿宋简体" w:hAnsi="Times New Roman" w:cs="Times New Roman"/>
          <w:sz w:val="28"/>
          <w:szCs w:val="24"/>
        </w:rPr>
        <w:t>在对应级别的权限范围内从事期权交易</w:t>
      </w:r>
      <w:r w:rsidRPr="004F1B33">
        <w:rPr>
          <w:rFonts w:ascii="Times New Roman" w:eastAsia="方正仿宋简体" w:hAnsi="Times New Roman" w:cs="Times New Roman"/>
          <w:sz w:val="28"/>
          <w:szCs w:val="24"/>
        </w:rPr>
        <w:t>。</w:t>
      </w:r>
    </w:p>
    <w:p w:rsidR="007F1497" w:rsidRPr="009A5434" w:rsidRDefault="00616CE6" w:rsidP="00652065">
      <w:pPr>
        <w:spacing w:line="560" w:lineRule="exact"/>
        <w:ind w:firstLineChars="250" w:firstLine="700"/>
        <w:rPr>
          <w:rFonts w:ascii="Times New Roman" w:eastAsia="方正仿宋简体" w:hAnsi="Times New Roman" w:cs="Times New Roman"/>
          <w:sz w:val="28"/>
          <w:szCs w:val="24"/>
        </w:rPr>
      </w:pPr>
      <w:r w:rsidRPr="009A5434">
        <w:rPr>
          <w:rFonts w:ascii="Times New Roman" w:eastAsia="方正仿宋简体" w:hAnsi="Times New Roman" w:cs="Times New Roman" w:hint="eastAsia"/>
          <w:sz w:val="28"/>
          <w:szCs w:val="24"/>
        </w:rPr>
        <w:t>一级投资者</w:t>
      </w:r>
      <w:r w:rsidR="00A77243" w:rsidRPr="009A5434">
        <w:rPr>
          <w:rFonts w:ascii="Times New Roman" w:eastAsia="方正仿宋简体" w:hAnsi="Times New Roman" w:cs="Times New Roman"/>
          <w:sz w:val="28"/>
          <w:szCs w:val="24"/>
        </w:rPr>
        <w:t>的交易权限</w:t>
      </w:r>
      <w:r w:rsidRPr="009A5434">
        <w:rPr>
          <w:rFonts w:ascii="Times New Roman" w:eastAsia="方正仿宋简体" w:hAnsi="Times New Roman" w:cs="Times New Roman" w:hint="eastAsia"/>
          <w:sz w:val="28"/>
          <w:szCs w:val="24"/>
        </w:rPr>
        <w:t>为</w:t>
      </w:r>
      <w:r w:rsidR="00A77243" w:rsidRPr="009A5434">
        <w:rPr>
          <w:rFonts w:ascii="Times New Roman" w:eastAsia="方正仿宋简体" w:hAnsi="Times New Roman" w:cs="Times New Roman"/>
          <w:sz w:val="28"/>
          <w:szCs w:val="24"/>
        </w:rPr>
        <w:t>：</w:t>
      </w:r>
      <w:r w:rsidR="005335D8" w:rsidRPr="009A5434">
        <w:rPr>
          <w:rFonts w:ascii="Times New Roman" w:eastAsia="方正仿宋简体" w:hAnsi="Times New Roman" w:cs="Times New Roman" w:hint="eastAsia"/>
          <w:sz w:val="28"/>
          <w:szCs w:val="24"/>
        </w:rPr>
        <w:t>在</w:t>
      </w:r>
      <w:r w:rsidR="005335D8" w:rsidRPr="009A5434">
        <w:rPr>
          <w:rFonts w:ascii="Times New Roman" w:eastAsia="方正仿宋简体" w:hAnsi="Times New Roman" w:cs="Times New Roman"/>
          <w:sz w:val="28"/>
          <w:szCs w:val="24"/>
        </w:rPr>
        <w:t>持有期权合约标的时</w:t>
      </w:r>
      <w:r w:rsidR="005335D8" w:rsidRPr="009A5434">
        <w:rPr>
          <w:rFonts w:ascii="Times New Roman" w:eastAsia="方正仿宋简体" w:hAnsi="Times New Roman" w:cs="Times New Roman" w:hint="eastAsia"/>
          <w:sz w:val="28"/>
          <w:szCs w:val="24"/>
        </w:rPr>
        <w:t>，</w:t>
      </w:r>
      <w:r w:rsidR="005335D8" w:rsidRPr="009A5434">
        <w:rPr>
          <w:rFonts w:ascii="Times New Roman" w:eastAsia="方正仿宋简体" w:hAnsi="Times New Roman" w:cs="Times New Roman"/>
          <w:sz w:val="28"/>
          <w:szCs w:val="24"/>
        </w:rPr>
        <w:t>进行相应数量的备兑开仓或认沽期权买入开仓</w:t>
      </w:r>
      <w:r w:rsidR="005335D8" w:rsidRPr="009A5434">
        <w:rPr>
          <w:rFonts w:ascii="Times New Roman" w:eastAsia="方正仿宋简体" w:hAnsi="Times New Roman" w:cs="Times New Roman" w:hint="eastAsia"/>
          <w:sz w:val="28"/>
          <w:szCs w:val="24"/>
        </w:rPr>
        <w:t>，</w:t>
      </w:r>
      <w:r w:rsidR="005335D8" w:rsidRPr="009A5434">
        <w:rPr>
          <w:rFonts w:ascii="Times New Roman" w:eastAsia="方正仿宋简体" w:hAnsi="Times New Roman" w:cs="Times New Roman"/>
          <w:sz w:val="28"/>
          <w:szCs w:val="24"/>
        </w:rPr>
        <w:t>以及对所持有合约进行平仓或者行权</w:t>
      </w:r>
      <w:r w:rsidR="003F44CB">
        <w:rPr>
          <w:rFonts w:ascii="Times New Roman" w:eastAsia="方正仿宋简体" w:hAnsi="Times New Roman" w:cs="Times New Roman" w:hint="eastAsia"/>
          <w:sz w:val="28"/>
          <w:szCs w:val="24"/>
        </w:rPr>
        <w:t>，</w:t>
      </w:r>
      <w:r w:rsidR="00F11F4E" w:rsidRPr="009A5434">
        <w:rPr>
          <w:rFonts w:ascii="Times New Roman" w:eastAsia="方正仿宋简体" w:hAnsi="Times New Roman" w:cs="Times New Roman"/>
          <w:sz w:val="28"/>
          <w:szCs w:val="24"/>
        </w:rPr>
        <w:t>即</w:t>
      </w:r>
      <w:r w:rsidR="00F11F4E" w:rsidRPr="009A5434">
        <w:rPr>
          <w:rFonts w:ascii="Times New Roman" w:eastAsia="方正仿宋简体" w:hAnsi="Times New Roman" w:cs="Times New Roman" w:hint="eastAsia"/>
          <w:sz w:val="28"/>
          <w:szCs w:val="24"/>
        </w:rPr>
        <w:t>一级投资者适用的交易策略包括备兑策略和保险策略。</w:t>
      </w:r>
      <w:r w:rsidR="00860897" w:rsidRPr="009A5434">
        <w:rPr>
          <w:rFonts w:ascii="Times New Roman" w:eastAsia="方正仿宋简体" w:hAnsi="Times New Roman" w:cs="Times New Roman"/>
          <w:sz w:val="28"/>
          <w:szCs w:val="24"/>
        </w:rPr>
        <w:t>那么</w:t>
      </w:r>
      <w:r w:rsidR="002D35A5" w:rsidRPr="009A5434">
        <w:rPr>
          <w:rFonts w:ascii="Times New Roman" w:eastAsia="方正仿宋简体" w:hAnsi="Times New Roman" w:cs="Times New Roman" w:hint="eastAsia"/>
          <w:sz w:val="28"/>
          <w:szCs w:val="24"/>
        </w:rPr>
        <w:t>，</w:t>
      </w:r>
      <w:r w:rsidR="00462CA7" w:rsidRPr="009A5434">
        <w:rPr>
          <w:rFonts w:ascii="Times New Roman" w:eastAsia="方正仿宋简体" w:hAnsi="Times New Roman" w:cs="Times New Roman" w:hint="eastAsia"/>
          <w:sz w:val="28"/>
          <w:szCs w:val="24"/>
        </w:rPr>
        <w:t>如何理解这些交易策略</w:t>
      </w:r>
      <w:r w:rsidR="00A47EB0">
        <w:rPr>
          <w:rFonts w:ascii="Times New Roman" w:eastAsia="方正仿宋简体" w:hAnsi="Times New Roman" w:cs="Times New Roman" w:hint="eastAsia"/>
          <w:sz w:val="28"/>
          <w:szCs w:val="24"/>
        </w:rPr>
        <w:t>，</w:t>
      </w:r>
      <w:r w:rsidR="00860897" w:rsidRPr="009A5434">
        <w:rPr>
          <w:rFonts w:ascii="Times New Roman" w:eastAsia="方正仿宋简体" w:hAnsi="Times New Roman" w:cs="Times New Roman" w:hint="eastAsia"/>
          <w:sz w:val="28"/>
          <w:szCs w:val="24"/>
        </w:rPr>
        <w:t>在</w:t>
      </w:r>
      <w:r w:rsidR="002D35A5" w:rsidRPr="009A5434">
        <w:rPr>
          <w:rFonts w:ascii="Times New Roman" w:eastAsia="方正仿宋简体" w:hAnsi="Times New Roman" w:cs="Times New Roman" w:hint="eastAsia"/>
          <w:sz w:val="28"/>
          <w:szCs w:val="24"/>
        </w:rPr>
        <w:t>使用</w:t>
      </w:r>
      <w:r w:rsidR="00F43937" w:rsidRPr="009A5434">
        <w:rPr>
          <w:rFonts w:ascii="Times New Roman" w:eastAsia="方正仿宋简体" w:hAnsi="Times New Roman" w:cs="Times New Roman" w:hint="eastAsia"/>
          <w:sz w:val="28"/>
          <w:szCs w:val="24"/>
        </w:rPr>
        <w:t>策略的</w:t>
      </w:r>
      <w:r w:rsidR="00DD0DBE">
        <w:rPr>
          <w:rFonts w:ascii="Times New Roman" w:eastAsia="方正仿宋简体" w:hAnsi="Times New Roman" w:cs="Times New Roman" w:hint="eastAsia"/>
          <w:sz w:val="28"/>
          <w:szCs w:val="24"/>
        </w:rPr>
        <w:t>过程中又该注意什么呢？下面就让我们来一起学习</w:t>
      </w:r>
      <w:r w:rsidR="00860897" w:rsidRPr="009A5434">
        <w:rPr>
          <w:rFonts w:ascii="Times New Roman" w:eastAsia="方正仿宋简体" w:hAnsi="Times New Roman" w:cs="Times New Roman" w:hint="eastAsia"/>
          <w:sz w:val="28"/>
          <w:szCs w:val="24"/>
        </w:rPr>
        <w:t>吧</w:t>
      </w:r>
      <w:r w:rsidR="00DD0DBE">
        <w:rPr>
          <w:rFonts w:ascii="Times New Roman" w:eastAsia="方正仿宋简体" w:hAnsi="Times New Roman" w:cs="Times New Roman" w:hint="eastAsia"/>
          <w:sz w:val="28"/>
          <w:szCs w:val="24"/>
        </w:rPr>
        <w:t>。</w:t>
      </w:r>
    </w:p>
    <w:p w:rsidR="00EA7A99" w:rsidRDefault="0014170E" w:rsidP="00652065">
      <w:pPr>
        <w:spacing w:beforeLines="100" w:before="312" w:line="560" w:lineRule="exact"/>
        <w:ind w:firstLineChars="200" w:firstLine="560"/>
        <w:rPr>
          <w:rFonts w:ascii="黑体" w:eastAsia="黑体" w:hAnsi="黑体" w:cs="Times New Roman"/>
          <w:sz w:val="28"/>
          <w:szCs w:val="28"/>
        </w:rPr>
      </w:pPr>
      <w:r>
        <w:rPr>
          <w:rFonts w:ascii="黑体" w:eastAsia="黑体" w:hAnsi="黑体" w:cs="Times New Roman" w:hint="eastAsia"/>
          <w:sz w:val="28"/>
          <w:szCs w:val="28"/>
        </w:rPr>
        <w:t>一</w:t>
      </w:r>
      <w:r w:rsidR="00EA7A99" w:rsidRPr="00B56CF9">
        <w:rPr>
          <w:rFonts w:ascii="黑体" w:eastAsia="黑体" w:hAnsi="黑体" w:cs="Times New Roman" w:hint="eastAsia"/>
          <w:sz w:val="28"/>
          <w:szCs w:val="28"/>
        </w:rPr>
        <w:t>、一级投资者</w:t>
      </w:r>
      <w:r w:rsidR="00F11F4E">
        <w:rPr>
          <w:rFonts w:ascii="黑体" w:eastAsia="黑体" w:hAnsi="黑体" w:cs="Times New Roman" w:hint="eastAsia"/>
          <w:sz w:val="28"/>
          <w:szCs w:val="28"/>
        </w:rPr>
        <w:t>交易</w:t>
      </w:r>
      <w:r w:rsidR="00EA7A99" w:rsidRPr="00B56CF9">
        <w:rPr>
          <w:rFonts w:ascii="黑体" w:eastAsia="黑体" w:hAnsi="黑体" w:cs="Times New Roman" w:hint="eastAsia"/>
          <w:sz w:val="28"/>
          <w:szCs w:val="28"/>
        </w:rPr>
        <w:t>策略</w:t>
      </w:r>
    </w:p>
    <w:p w:rsidR="00EA7A99" w:rsidRPr="009F3445" w:rsidRDefault="0071355D" w:rsidP="009F3445">
      <w:pPr>
        <w:spacing w:line="560" w:lineRule="exact"/>
        <w:ind w:firstLineChars="200" w:firstLine="560"/>
        <w:rPr>
          <w:rFonts w:ascii="Times New Roman" w:eastAsia="楷体" w:hAnsi="Times New Roman" w:cs="Times New Roman"/>
          <w:sz w:val="28"/>
          <w:szCs w:val="28"/>
        </w:rPr>
      </w:pPr>
      <w:r w:rsidRPr="009F3445">
        <w:rPr>
          <w:rFonts w:ascii="Times New Roman" w:eastAsia="楷体" w:hAnsi="Times New Roman" w:cs="Times New Roman" w:hint="eastAsia"/>
          <w:sz w:val="28"/>
          <w:szCs w:val="28"/>
        </w:rPr>
        <w:t>（一）</w:t>
      </w:r>
      <w:r w:rsidR="00EA7A99" w:rsidRPr="009F3445">
        <w:rPr>
          <w:rFonts w:ascii="Times New Roman" w:eastAsia="楷体" w:hAnsi="Times New Roman" w:cs="Times New Roman" w:hint="eastAsia"/>
          <w:sz w:val="28"/>
          <w:szCs w:val="28"/>
        </w:rPr>
        <w:t>备兑策略</w:t>
      </w:r>
    </w:p>
    <w:p w:rsidR="0014170E" w:rsidRDefault="00EA7A99" w:rsidP="009317A1">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备兑策略，是指投资者在</w:t>
      </w:r>
      <w:r w:rsidR="005578B1">
        <w:rPr>
          <w:rFonts w:ascii="Times New Roman" w:eastAsia="方正仿宋简体" w:hAnsi="Times New Roman" w:cs="Times New Roman" w:hint="eastAsia"/>
          <w:sz w:val="28"/>
          <w:szCs w:val="24"/>
        </w:rPr>
        <w:t>持有</w:t>
      </w:r>
      <w:r w:rsidRPr="00B56CF9">
        <w:rPr>
          <w:rFonts w:ascii="Times New Roman" w:eastAsia="方正仿宋简体" w:hAnsi="Times New Roman" w:cs="Times New Roman" w:hint="eastAsia"/>
          <w:sz w:val="28"/>
          <w:szCs w:val="24"/>
        </w:rPr>
        <w:t>或者买入</w:t>
      </w:r>
      <w:r w:rsidR="001327D3">
        <w:rPr>
          <w:rFonts w:ascii="Times New Roman" w:eastAsia="方正仿宋简体" w:hAnsi="Times New Roman" w:cs="Times New Roman" w:hint="eastAsia"/>
          <w:sz w:val="28"/>
          <w:szCs w:val="24"/>
        </w:rPr>
        <w:t>股票、</w:t>
      </w:r>
      <w:r w:rsidR="001327D3">
        <w:rPr>
          <w:rFonts w:ascii="Times New Roman" w:eastAsia="方正仿宋简体" w:hAnsi="Times New Roman" w:cs="Times New Roman" w:hint="eastAsia"/>
          <w:sz w:val="28"/>
          <w:szCs w:val="24"/>
        </w:rPr>
        <w:t>ETF</w:t>
      </w:r>
      <w:r w:rsidR="001327D3">
        <w:rPr>
          <w:rFonts w:ascii="Times New Roman" w:eastAsia="方正仿宋简体" w:hAnsi="Times New Roman" w:cs="Times New Roman" w:hint="eastAsia"/>
          <w:sz w:val="28"/>
          <w:szCs w:val="24"/>
        </w:rPr>
        <w:t>等</w:t>
      </w:r>
      <w:r w:rsidR="005578B1">
        <w:rPr>
          <w:rFonts w:ascii="Times New Roman" w:eastAsia="方正仿宋简体" w:hAnsi="Times New Roman" w:cs="Times New Roman" w:hint="eastAsia"/>
          <w:sz w:val="28"/>
          <w:szCs w:val="24"/>
        </w:rPr>
        <w:t>标的</w:t>
      </w:r>
      <w:r w:rsidR="001327D3">
        <w:rPr>
          <w:rFonts w:ascii="Times New Roman" w:eastAsia="方正仿宋简体" w:hAnsi="Times New Roman" w:cs="Times New Roman" w:hint="eastAsia"/>
          <w:sz w:val="28"/>
          <w:szCs w:val="24"/>
        </w:rPr>
        <w:t>资产</w:t>
      </w:r>
      <w:r w:rsidRPr="00B56CF9">
        <w:rPr>
          <w:rFonts w:ascii="Times New Roman" w:eastAsia="方正仿宋简体" w:hAnsi="Times New Roman" w:cs="Times New Roman" w:hint="eastAsia"/>
          <w:sz w:val="28"/>
          <w:szCs w:val="24"/>
        </w:rPr>
        <w:t>的同时，</w:t>
      </w:r>
      <w:r w:rsidR="005578B1">
        <w:rPr>
          <w:rFonts w:ascii="Times New Roman" w:eastAsia="方正仿宋简体" w:hAnsi="Times New Roman" w:cs="Times New Roman" w:hint="eastAsia"/>
          <w:sz w:val="28"/>
          <w:szCs w:val="24"/>
        </w:rPr>
        <w:t>以该</w:t>
      </w:r>
      <w:r w:rsidR="001327D3">
        <w:rPr>
          <w:rFonts w:ascii="Times New Roman" w:eastAsia="方正仿宋简体" w:hAnsi="Times New Roman" w:cs="Times New Roman" w:hint="eastAsia"/>
          <w:sz w:val="28"/>
          <w:szCs w:val="24"/>
        </w:rPr>
        <w:t>标的资产</w:t>
      </w:r>
      <w:r w:rsidR="005578B1">
        <w:rPr>
          <w:rFonts w:ascii="Times New Roman" w:eastAsia="方正仿宋简体" w:hAnsi="Times New Roman" w:cs="Times New Roman" w:hint="eastAsia"/>
          <w:sz w:val="28"/>
          <w:szCs w:val="24"/>
        </w:rPr>
        <w:t>为担保，</w:t>
      </w:r>
      <w:r w:rsidRPr="00B56CF9">
        <w:rPr>
          <w:rFonts w:ascii="Times New Roman" w:eastAsia="方正仿宋简体" w:hAnsi="Times New Roman" w:cs="Times New Roman" w:hint="eastAsia"/>
          <w:sz w:val="28"/>
          <w:szCs w:val="24"/>
        </w:rPr>
        <w:t>卖出相应数量的认购期权。</w:t>
      </w:r>
    </w:p>
    <w:p w:rsidR="00F51C26" w:rsidRPr="009317A1" w:rsidRDefault="0014170E" w:rsidP="009317A1">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投资者构建备兑策略后，如果未来标的资产价格不高于认购期权行权价，则认购期权不行权，投资者损益等于其持有的标的资产的损益，再加上卖出认购期权获得的权利金收入。如果未来标的资产价格高于行权价，则认购期权将被行权，投资者须以行权价卖出持有的标的资产。投资者损益等于行权价与标的资产买入价的差额，再加上卖出认购期权获得的权利金收入。</w:t>
      </w:r>
      <w:r w:rsidR="006C763A">
        <w:rPr>
          <w:rFonts w:ascii="Times New Roman" w:eastAsia="方正仿宋简体" w:hAnsi="Times New Roman" w:cs="Times New Roman" w:hint="eastAsia"/>
          <w:sz w:val="28"/>
          <w:szCs w:val="24"/>
        </w:rPr>
        <w:t>备兑策略的到期损益情况见图</w:t>
      </w:r>
      <w:r w:rsidR="006C763A">
        <w:rPr>
          <w:rFonts w:ascii="Times New Roman" w:eastAsia="方正仿宋简体" w:hAnsi="Times New Roman" w:cs="Times New Roman" w:hint="eastAsia"/>
          <w:sz w:val="28"/>
          <w:szCs w:val="24"/>
        </w:rPr>
        <w:t>1</w:t>
      </w:r>
      <w:r w:rsidR="001446D0">
        <w:rPr>
          <w:rFonts w:ascii="Times New Roman" w:eastAsia="方正仿宋简体" w:hAnsi="Times New Roman" w:cs="Times New Roman" w:hint="eastAsia"/>
          <w:sz w:val="28"/>
          <w:szCs w:val="24"/>
        </w:rPr>
        <w:t>。</w:t>
      </w:r>
    </w:p>
    <w:p w:rsidR="009317A1" w:rsidRDefault="009317A1" w:rsidP="00EC142A">
      <w:pPr>
        <w:jc w:val="center"/>
        <w:rPr>
          <w:rFonts w:ascii="Times New Roman" w:eastAsia="方正仿宋简体" w:hAnsi="Times New Roman" w:cs="Times New Roman"/>
          <w:noProof/>
          <w:sz w:val="22"/>
        </w:rPr>
      </w:pPr>
      <w:r>
        <w:rPr>
          <w:noProof/>
        </w:rPr>
        <w:drawing>
          <wp:inline distT="0" distB="0" distL="0" distR="0" wp14:anchorId="4412096F" wp14:editId="0300D16D">
            <wp:extent cx="3695700" cy="3309027"/>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695700" cy="3309027"/>
                    </a:xfrm>
                    <a:prstGeom prst="rect">
                      <a:avLst/>
                    </a:prstGeom>
                  </pic:spPr>
                </pic:pic>
              </a:graphicData>
            </a:graphic>
          </wp:inline>
        </w:drawing>
      </w:r>
    </w:p>
    <w:p w:rsidR="007732A4" w:rsidRDefault="007732A4" w:rsidP="007732A4">
      <w:pPr>
        <w:spacing w:line="560" w:lineRule="exact"/>
        <w:jc w:val="center"/>
        <w:rPr>
          <w:rFonts w:ascii="Times New Roman" w:eastAsia="方正仿宋简体" w:hAnsi="Times New Roman" w:cs="Times New Roman"/>
          <w:sz w:val="28"/>
          <w:szCs w:val="24"/>
        </w:rPr>
      </w:pPr>
      <w:r w:rsidRPr="007732A4">
        <w:rPr>
          <w:rFonts w:ascii="Times New Roman" w:eastAsia="方正仿宋简体" w:hAnsi="Times New Roman" w:cs="Times New Roman"/>
          <w:szCs w:val="20"/>
        </w:rPr>
        <w:t>图</w:t>
      </w:r>
      <w:r w:rsidRPr="007732A4">
        <w:rPr>
          <w:rFonts w:ascii="Times New Roman" w:eastAsia="方正仿宋简体" w:hAnsi="Times New Roman" w:cs="Times New Roman"/>
          <w:szCs w:val="20"/>
        </w:rPr>
        <w:fldChar w:fldCharType="begin"/>
      </w:r>
      <w:r w:rsidRPr="007732A4">
        <w:rPr>
          <w:rFonts w:ascii="Times New Roman" w:eastAsia="方正仿宋简体" w:hAnsi="Times New Roman" w:cs="Times New Roman"/>
          <w:szCs w:val="20"/>
        </w:rPr>
        <w:instrText xml:space="preserve"> SEQ </w:instrText>
      </w:r>
      <w:r w:rsidRPr="007732A4">
        <w:rPr>
          <w:rFonts w:ascii="Times New Roman" w:eastAsia="方正仿宋简体" w:hAnsi="Times New Roman" w:cs="Times New Roman"/>
          <w:szCs w:val="20"/>
        </w:rPr>
        <w:instrText>图</w:instrText>
      </w:r>
      <w:r w:rsidRPr="007732A4">
        <w:rPr>
          <w:rFonts w:ascii="Times New Roman" w:eastAsia="方正仿宋简体" w:hAnsi="Times New Roman" w:cs="Times New Roman"/>
          <w:szCs w:val="20"/>
        </w:rPr>
        <w:instrText xml:space="preserve"> \* ARABIC </w:instrText>
      </w:r>
      <w:r w:rsidRPr="007732A4">
        <w:rPr>
          <w:rFonts w:ascii="Times New Roman" w:eastAsia="方正仿宋简体" w:hAnsi="Times New Roman" w:cs="Times New Roman"/>
          <w:szCs w:val="20"/>
        </w:rPr>
        <w:fldChar w:fldCharType="separate"/>
      </w:r>
      <w:r w:rsidRPr="007732A4">
        <w:rPr>
          <w:rFonts w:ascii="Times New Roman" w:eastAsia="方正仿宋简体" w:hAnsi="Times New Roman" w:cs="Times New Roman"/>
          <w:noProof/>
          <w:szCs w:val="20"/>
        </w:rPr>
        <w:t>1</w:t>
      </w:r>
      <w:r w:rsidRPr="007732A4">
        <w:rPr>
          <w:rFonts w:ascii="Times New Roman" w:eastAsia="方正仿宋简体" w:hAnsi="Times New Roman" w:cs="Times New Roman"/>
          <w:szCs w:val="20"/>
        </w:rPr>
        <w:fldChar w:fldCharType="end"/>
      </w:r>
      <w:r w:rsidR="00032639">
        <w:rPr>
          <w:rFonts w:ascii="Times New Roman" w:eastAsia="方正仿宋简体" w:hAnsi="Times New Roman" w:cs="Times New Roman" w:hint="eastAsia"/>
          <w:szCs w:val="20"/>
        </w:rPr>
        <w:t>：</w:t>
      </w:r>
      <w:r w:rsidRPr="007732A4">
        <w:rPr>
          <w:rFonts w:ascii="Times New Roman" w:eastAsia="方正仿宋简体" w:hAnsi="Times New Roman" w:cs="Times New Roman"/>
          <w:szCs w:val="20"/>
        </w:rPr>
        <w:t>备兑策略</w:t>
      </w:r>
      <w:r w:rsidR="006C763A">
        <w:rPr>
          <w:rFonts w:ascii="Times New Roman" w:eastAsia="方正仿宋简体" w:hAnsi="Times New Roman" w:cs="Times New Roman"/>
          <w:szCs w:val="20"/>
        </w:rPr>
        <w:t>到期</w:t>
      </w:r>
      <w:r w:rsidRPr="007732A4">
        <w:rPr>
          <w:rFonts w:ascii="Times New Roman" w:eastAsia="方正仿宋简体" w:hAnsi="Times New Roman" w:cs="Times New Roman"/>
          <w:szCs w:val="20"/>
        </w:rPr>
        <w:t>损益图</w:t>
      </w:r>
    </w:p>
    <w:p w:rsidR="00B87096" w:rsidRDefault="00EA7A99" w:rsidP="00FD6DF2">
      <w:pPr>
        <w:spacing w:line="560" w:lineRule="exact"/>
        <w:ind w:firstLineChars="200" w:firstLine="560"/>
        <w:rPr>
          <w:rFonts w:ascii="Times New Roman" w:eastAsia="方正仿宋简体" w:hAnsi="Times New Roman" w:cs="Times New Roman"/>
          <w:sz w:val="28"/>
          <w:szCs w:val="24"/>
        </w:rPr>
      </w:pPr>
      <w:r w:rsidRPr="00857B72">
        <w:rPr>
          <w:rFonts w:ascii="Times New Roman" w:eastAsia="方正仿宋简体" w:hAnsi="Times New Roman" w:cs="Times New Roman" w:hint="eastAsia"/>
          <w:sz w:val="28"/>
          <w:szCs w:val="24"/>
        </w:rPr>
        <w:t>备兑策略</w:t>
      </w:r>
      <w:r w:rsidR="00602D82">
        <w:rPr>
          <w:rFonts w:ascii="Times New Roman" w:eastAsia="方正仿宋简体" w:hAnsi="Times New Roman" w:cs="Times New Roman" w:hint="eastAsia"/>
          <w:sz w:val="28"/>
          <w:szCs w:val="24"/>
        </w:rPr>
        <w:t>的</w:t>
      </w:r>
      <w:r w:rsidR="00A56DCD">
        <w:rPr>
          <w:rFonts w:ascii="Times New Roman" w:eastAsia="方正仿宋简体" w:hAnsi="Times New Roman" w:cs="Times New Roman" w:hint="eastAsia"/>
          <w:sz w:val="28"/>
          <w:szCs w:val="24"/>
        </w:rPr>
        <w:t>主要</w:t>
      </w:r>
      <w:r w:rsidR="00602D82">
        <w:rPr>
          <w:rFonts w:ascii="Times New Roman" w:eastAsia="方正仿宋简体" w:hAnsi="Times New Roman" w:cs="Times New Roman" w:hint="eastAsia"/>
          <w:sz w:val="28"/>
          <w:szCs w:val="24"/>
        </w:rPr>
        <w:t>用途为</w:t>
      </w:r>
      <w:r w:rsidRPr="00857B72">
        <w:rPr>
          <w:rFonts w:ascii="Times New Roman" w:eastAsia="方正仿宋简体" w:hAnsi="Times New Roman" w:cs="Times New Roman" w:hint="eastAsia"/>
          <w:sz w:val="28"/>
          <w:szCs w:val="24"/>
        </w:rPr>
        <w:t>增强</w:t>
      </w:r>
      <w:r w:rsidR="009F3445">
        <w:rPr>
          <w:rFonts w:ascii="Times New Roman" w:eastAsia="方正仿宋简体" w:hAnsi="Times New Roman" w:cs="Times New Roman" w:hint="eastAsia"/>
          <w:sz w:val="28"/>
          <w:szCs w:val="24"/>
        </w:rPr>
        <w:t>标的资产</w:t>
      </w:r>
      <w:r w:rsidR="00B92FC2">
        <w:rPr>
          <w:rFonts w:ascii="Times New Roman" w:eastAsia="方正仿宋简体" w:hAnsi="Times New Roman" w:cs="Times New Roman" w:hint="eastAsia"/>
          <w:sz w:val="28"/>
          <w:szCs w:val="24"/>
        </w:rPr>
        <w:t>持仓</w:t>
      </w:r>
      <w:r w:rsidRPr="00857B72">
        <w:rPr>
          <w:rFonts w:ascii="Times New Roman" w:eastAsia="方正仿宋简体" w:hAnsi="Times New Roman" w:cs="Times New Roman" w:hint="eastAsia"/>
          <w:sz w:val="28"/>
          <w:szCs w:val="24"/>
        </w:rPr>
        <w:t>收益。</w:t>
      </w:r>
      <w:r w:rsidR="00602D82">
        <w:rPr>
          <w:rFonts w:ascii="Times New Roman" w:eastAsia="方正仿宋简体" w:hAnsi="Times New Roman" w:cs="Times New Roman" w:hint="eastAsia"/>
          <w:sz w:val="28"/>
          <w:szCs w:val="24"/>
        </w:rPr>
        <w:t>当</w:t>
      </w:r>
      <w:r w:rsidRPr="00857B72">
        <w:rPr>
          <w:rFonts w:ascii="Times New Roman" w:eastAsia="方正仿宋简体" w:hAnsi="Times New Roman" w:cs="Times New Roman" w:hint="eastAsia"/>
          <w:sz w:val="28"/>
          <w:szCs w:val="24"/>
        </w:rPr>
        <w:t>投资者对标的</w:t>
      </w:r>
      <w:r w:rsidR="0027488F">
        <w:rPr>
          <w:rFonts w:ascii="Times New Roman" w:eastAsia="方正仿宋简体" w:hAnsi="Times New Roman" w:cs="Times New Roman" w:hint="eastAsia"/>
          <w:sz w:val="28"/>
          <w:szCs w:val="24"/>
        </w:rPr>
        <w:t>资产</w:t>
      </w:r>
      <w:r w:rsidRPr="00857B72">
        <w:rPr>
          <w:rFonts w:ascii="Times New Roman" w:eastAsia="方正仿宋简体" w:hAnsi="Times New Roman" w:cs="Times New Roman" w:hint="eastAsia"/>
          <w:sz w:val="28"/>
          <w:szCs w:val="24"/>
        </w:rPr>
        <w:t>价格变化方向的期望是中性或者温和看涨</w:t>
      </w:r>
      <w:r w:rsidR="00602D82">
        <w:rPr>
          <w:rFonts w:ascii="Times New Roman" w:eastAsia="方正仿宋简体" w:hAnsi="Times New Roman" w:cs="Times New Roman" w:hint="eastAsia"/>
          <w:sz w:val="28"/>
          <w:szCs w:val="24"/>
        </w:rPr>
        <w:t>时</w:t>
      </w:r>
      <w:r w:rsidRPr="00857B72">
        <w:rPr>
          <w:rFonts w:ascii="Times New Roman" w:eastAsia="方正仿宋简体" w:hAnsi="Times New Roman" w:cs="Times New Roman" w:hint="eastAsia"/>
          <w:sz w:val="28"/>
          <w:szCs w:val="24"/>
        </w:rPr>
        <w:t>，可</w:t>
      </w:r>
      <w:r w:rsidR="00A56DCD">
        <w:rPr>
          <w:rFonts w:ascii="Times New Roman" w:eastAsia="方正仿宋简体" w:hAnsi="Times New Roman" w:cs="Times New Roman" w:hint="eastAsia"/>
          <w:sz w:val="28"/>
          <w:szCs w:val="24"/>
        </w:rPr>
        <w:t>构建</w:t>
      </w:r>
      <w:r w:rsidRPr="00857B72">
        <w:rPr>
          <w:rFonts w:ascii="Times New Roman" w:eastAsia="方正仿宋简体" w:hAnsi="Times New Roman" w:cs="Times New Roman" w:hint="eastAsia"/>
          <w:sz w:val="28"/>
          <w:szCs w:val="24"/>
        </w:rPr>
        <w:t>备兑策略</w:t>
      </w:r>
      <w:r w:rsidR="00832D34">
        <w:rPr>
          <w:rFonts w:ascii="Times New Roman" w:eastAsia="方正仿宋简体" w:hAnsi="Times New Roman" w:cs="Times New Roman" w:hint="eastAsia"/>
          <w:sz w:val="28"/>
          <w:szCs w:val="24"/>
        </w:rPr>
        <w:t>，卖出期权并</w:t>
      </w:r>
      <w:r w:rsidR="00A56DCD" w:rsidRPr="00A56DCD">
        <w:rPr>
          <w:rFonts w:ascii="Times New Roman" w:eastAsia="方正仿宋简体" w:hAnsi="Times New Roman" w:cs="Times New Roman" w:hint="eastAsia"/>
          <w:sz w:val="28"/>
          <w:szCs w:val="24"/>
        </w:rPr>
        <w:t>收取权利金，降低持仓成本</w:t>
      </w:r>
      <w:r w:rsidR="00AF1C7D" w:rsidRPr="00A56DCD">
        <w:rPr>
          <w:rFonts w:ascii="Times New Roman" w:eastAsia="方正仿宋简体" w:hAnsi="Times New Roman" w:cs="Times New Roman" w:hint="eastAsia"/>
          <w:sz w:val="28"/>
          <w:szCs w:val="24"/>
        </w:rPr>
        <w:t>，增强持</w:t>
      </w:r>
      <w:r w:rsidR="00AF1C7D">
        <w:rPr>
          <w:rFonts w:ascii="Times New Roman" w:eastAsia="方正仿宋简体" w:hAnsi="Times New Roman" w:cs="Times New Roman" w:hint="eastAsia"/>
          <w:sz w:val="28"/>
          <w:szCs w:val="24"/>
        </w:rPr>
        <w:t>仓</w:t>
      </w:r>
      <w:r w:rsidR="00AF1C7D" w:rsidRPr="00A56DCD">
        <w:rPr>
          <w:rFonts w:ascii="Times New Roman" w:eastAsia="方正仿宋简体" w:hAnsi="Times New Roman" w:cs="Times New Roman" w:hint="eastAsia"/>
          <w:sz w:val="28"/>
          <w:szCs w:val="24"/>
        </w:rPr>
        <w:t>收益</w:t>
      </w:r>
      <w:r w:rsidRPr="00857B72">
        <w:rPr>
          <w:rFonts w:ascii="Times New Roman" w:eastAsia="方正仿宋简体" w:hAnsi="Times New Roman" w:cs="Times New Roman" w:hint="eastAsia"/>
          <w:sz w:val="28"/>
          <w:szCs w:val="24"/>
        </w:rPr>
        <w:t>。</w:t>
      </w:r>
    </w:p>
    <w:p w:rsidR="00EA7A99" w:rsidRDefault="007755BC" w:rsidP="00FD6DF2">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备兑策略也可以帮助投资者</w:t>
      </w:r>
      <w:r w:rsidR="00EA7A99" w:rsidRPr="00857B72">
        <w:rPr>
          <w:rFonts w:ascii="Times New Roman" w:eastAsia="方正仿宋简体" w:hAnsi="Times New Roman" w:cs="Times New Roman" w:hint="eastAsia"/>
          <w:sz w:val="28"/>
          <w:szCs w:val="24"/>
        </w:rPr>
        <w:t>锁定</w:t>
      </w:r>
      <w:r w:rsidR="00832D34">
        <w:rPr>
          <w:rFonts w:ascii="Times New Roman" w:eastAsia="方正仿宋简体" w:hAnsi="Times New Roman" w:cs="Times New Roman" w:hint="eastAsia"/>
          <w:sz w:val="28"/>
          <w:szCs w:val="24"/>
        </w:rPr>
        <w:t>标的资产</w:t>
      </w:r>
      <w:r>
        <w:rPr>
          <w:rFonts w:ascii="Times New Roman" w:eastAsia="方正仿宋简体" w:hAnsi="Times New Roman" w:cs="Times New Roman" w:hint="eastAsia"/>
          <w:sz w:val="28"/>
          <w:szCs w:val="24"/>
        </w:rPr>
        <w:t>的</w:t>
      </w:r>
      <w:r w:rsidR="00EA7A99" w:rsidRPr="00857B72">
        <w:rPr>
          <w:rFonts w:ascii="Times New Roman" w:eastAsia="方正仿宋简体" w:hAnsi="Times New Roman" w:cs="Times New Roman" w:hint="eastAsia"/>
          <w:sz w:val="28"/>
          <w:szCs w:val="24"/>
        </w:rPr>
        <w:t>目标</w:t>
      </w:r>
      <w:r>
        <w:rPr>
          <w:rFonts w:ascii="Times New Roman" w:eastAsia="方正仿宋简体" w:hAnsi="Times New Roman" w:cs="Times New Roman" w:hint="eastAsia"/>
          <w:sz w:val="28"/>
          <w:szCs w:val="24"/>
        </w:rPr>
        <w:t>出售</w:t>
      </w:r>
      <w:r w:rsidR="00EA7A99" w:rsidRPr="00857B72">
        <w:rPr>
          <w:rFonts w:ascii="Times New Roman" w:eastAsia="方正仿宋简体" w:hAnsi="Times New Roman" w:cs="Times New Roman" w:hint="eastAsia"/>
          <w:sz w:val="28"/>
          <w:szCs w:val="24"/>
        </w:rPr>
        <w:t>价位，作为“高抛现货”的一种替代。</w:t>
      </w:r>
    </w:p>
    <w:p w:rsidR="00B47807" w:rsidRDefault="00EA7A99" w:rsidP="00652065">
      <w:pPr>
        <w:spacing w:line="560" w:lineRule="exact"/>
        <w:ind w:firstLineChars="200" w:firstLine="560"/>
        <w:rPr>
          <w:rFonts w:ascii="Times New Roman" w:eastAsia="方正仿宋简体" w:hAnsi="Times New Roman" w:cs="Times New Roman"/>
          <w:sz w:val="28"/>
          <w:szCs w:val="24"/>
        </w:rPr>
      </w:pPr>
      <w:r w:rsidRPr="00857B72">
        <w:rPr>
          <w:rFonts w:ascii="Times New Roman" w:eastAsia="方正仿宋简体" w:hAnsi="Times New Roman" w:cs="Times New Roman" w:hint="eastAsia"/>
          <w:sz w:val="28"/>
          <w:szCs w:val="24"/>
        </w:rPr>
        <w:t>备兑策略是一个比较简单实用的策略，容易操作，且无需保证金。从盈亏概率分析，</w:t>
      </w:r>
      <w:r w:rsidR="00B47807">
        <w:rPr>
          <w:rFonts w:ascii="Times New Roman" w:eastAsia="方正仿宋简体" w:hAnsi="Times New Roman" w:cs="Times New Roman" w:hint="eastAsia"/>
          <w:sz w:val="28"/>
          <w:szCs w:val="24"/>
        </w:rPr>
        <w:t>由于</w:t>
      </w:r>
      <w:r w:rsidRPr="00857B72">
        <w:rPr>
          <w:rFonts w:ascii="Times New Roman" w:eastAsia="方正仿宋简体" w:hAnsi="Times New Roman" w:cs="Times New Roman" w:hint="eastAsia"/>
          <w:sz w:val="28"/>
          <w:szCs w:val="24"/>
        </w:rPr>
        <w:t>股市多数时间都处于震荡走势，备兑</w:t>
      </w:r>
      <w:r w:rsidR="00BA1542">
        <w:rPr>
          <w:rFonts w:ascii="Times New Roman" w:eastAsia="方正仿宋简体" w:hAnsi="Times New Roman" w:cs="Times New Roman" w:hint="eastAsia"/>
          <w:sz w:val="28"/>
          <w:szCs w:val="24"/>
        </w:rPr>
        <w:t>策略</w:t>
      </w:r>
      <w:r w:rsidRPr="00857B72">
        <w:rPr>
          <w:rFonts w:ascii="Times New Roman" w:eastAsia="方正仿宋简体" w:hAnsi="Times New Roman" w:cs="Times New Roman" w:hint="eastAsia"/>
          <w:sz w:val="28"/>
          <w:szCs w:val="24"/>
        </w:rPr>
        <w:t>亏损的概率</w:t>
      </w:r>
      <w:r w:rsidR="00B47807">
        <w:rPr>
          <w:rFonts w:ascii="Times New Roman" w:eastAsia="方正仿宋简体" w:hAnsi="Times New Roman" w:cs="Times New Roman" w:hint="eastAsia"/>
          <w:sz w:val="28"/>
          <w:szCs w:val="24"/>
        </w:rPr>
        <w:t>较</w:t>
      </w:r>
      <w:r w:rsidRPr="00857B72">
        <w:rPr>
          <w:rFonts w:ascii="Times New Roman" w:eastAsia="方正仿宋简体" w:hAnsi="Times New Roman" w:cs="Times New Roman" w:hint="eastAsia"/>
          <w:sz w:val="28"/>
          <w:szCs w:val="24"/>
        </w:rPr>
        <w:t>低，盈利的概率</w:t>
      </w:r>
      <w:r w:rsidR="00B47807">
        <w:rPr>
          <w:rFonts w:ascii="Times New Roman" w:eastAsia="方正仿宋简体" w:hAnsi="Times New Roman" w:cs="Times New Roman" w:hint="eastAsia"/>
          <w:sz w:val="28"/>
          <w:szCs w:val="24"/>
        </w:rPr>
        <w:t>较</w:t>
      </w:r>
      <w:r w:rsidRPr="00857B72">
        <w:rPr>
          <w:rFonts w:ascii="Times New Roman" w:eastAsia="方正仿宋简体" w:hAnsi="Times New Roman" w:cs="Times New Roman" w:hint="eastAsia"/>
          <w:sz w:val="28"/>
          <w:szCs w:val="24"/>
        </w:rPr>
        <w:t>高，即大概率赚小钱。</w:t>
      </w:r>
    </w:p>
    <w:p w:rsidR="00EA7A99" w:rsidRPr="009F3445" w:rsidRDefault="004273B7" w:rsidP="009F3445">
      <w:pPr>
        <w:spacing w:line="560" w:lineRule="exact"/>
        <w:ind w:firstLineChars="200" w:firstLine="560"/>
        <w:rPr>
          <w:rFonts w:ascii="Times New Roman" w:eastAsia="楷体" w:hAnsi="Times New Roman" w:cs="Times New Roman"/>
          <w:sz w:val="28"/>
          <w:szCs w:val="28"/>
        </w:rPr>
      </w:pPr>
      <w:r w:rsidRPr="009F3445">
        <w:rPr>
          <w:rFonts w:ascii="Times New Roman" w:eastAsia="楷体" w:hAnsi="Times New Roman" w:cs="Times New Roman" w:hint="eastAsia"/>
          <w:sz w:val="28"/>
          <w:szCs w:val="28"/>
        </w:rPr>
        <w:t>（二）</w:t>
      </w:r>
      <w:r w:rsidR="00EA7A99" w:rsidRPr="009F3445">
        <w:rPr>
          <w:rFonts w:ascii="Times New Roman" w:eastAsia="楷体" w:hAnsi="Times New Roman" w:cs="Times New Roman" w:hint="eastAsia"/>
          <w:sz w:val="28"/>
          <w:szCs w:val="28"/>
        </w:rPr>
        <w:t>保险策略</w:t>
      </w:r>
    </w:p>
    <w:p w:rsidR="0014170E" w:rsidRDefault="00EA7A99" w:rsidP="009317A1">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保险策略</w:t>
      </w:r>
      <w:r w:rsidRPr="00857B72">
        <w:rPr>
          <w:rFonts w:ascii="Times New Roman" w:eastAsia="方正仿宋简体" w:hAnsi="Times New Roman" w:cs="Times New Roman" w:hint="eastAsia"/>
          <w:sz w:val="28"/>
          <w:szCs w:val="24"/>
        </w:rPr>
        <w:t>，是指投资者在</w:t>
      </w:r>
      <w:r w:rsidR="0027488F">
        <w:rPr>
          <w:rFonts w:ascii="Times New Roman" w:eastAsia="方正仿宋简体" w:hAnsi="Times New Roman" w:cs="Times New Roman" w:hint="eastAsia"/>
          <w:sz w:val="28"/>
          <w:szCs w:val="24"/>
        </w:rPr>
        <w:t>持有或</w:t>
      </w:r>
      <w:r w:rsidRPr="00857B72">
        <w:rPr>
          <w:rFonts w:ascii="Times New Roman" w:eastAsia="方正仿宋简体" w:hAnsi="Times New Roman" w:cs="Times New Roman" w:hint="eastAsia"/>
          <w:sz w:val="28"/>
          <w:szCs w:val="24"/>
        </w:rPr>
        <w:t>买入</w:t>
      </w:r>
      <w:r w:rsidR="00967D4E" w:rsidRPr="00967D4E">
        <w:rPr>
          <w:rFonts w:ascii="Times New Roman" w:eastAsia="方正仿宋简体" w:hAnsi="Times New Roman" w:cs="Times New Roman" w:hint="eastAsia"/>
          <w:sz w:val="28"/>
          <w:szCs w:val="24"/>
        </w:rPr>
        <w:t>股票、</w:t>
      </w:r>
      <w:r w:rsidR="00967D4E" w:rsidRPr="00967D4E">
        <w:rPr>
          <w:rFonts w:ascii="Times New Roman" w:eastAsia="方正仿宋简体" w:hAnsi="Times New Roman" w:cs="Times New Roman" w:hint="eastAsia"/>
          <w:sz w:val="28"/>
          <w:szCs w:val="24"/>
        </w:rPr>
        <w:t>ETF</w:t>
      </w:r>
      <w:r w:rsidR="00967D4E" w:rsidRPr="00967D4E">
        <w:rPr>
          <w:rFonts w:ascii="Times New Roman" w:eastAsia="方正仿宋简体" w:hAnsi="Times New Roman" w:cs="Times New Roman" w:hint="eastAsia"/>
          <w:sz w:val="28"/>
          <w:szCs w:val="24"/>
        </w:rPr>
        <w:t>等</w:t>
      </w:r>
      <w:r w:rsidRPr="00857B72">
        <w:rPr>
          <w:rFonts w:ascii="Times New Roman" w:eastAsia="方正仿宋简体" w:hAnsi="Times New Roman" w:cs="Times New Roman" w:hint="eastAsia"/>
          <w:sz w:val="28"/>
          <w:szCs w:val="24"/>
        </w:rPr>
        <w:t>标的</w:t>
      </w:r>
      <w:r w:rsidR="0027488F">
        <w:rPr>
          <w:rFonts w:ascii="Times New Roman" w:eastAsia="方正仿宋简体" w:hAnsi="Times New Roman" w:cs="Times New Roman" w:hint="eastAsia"/>
          <w:sz w:val="28"/>
          <w:szCs w:val="24"/>
        </w:rPr>
        <w:t>资产</w:t>
      </w:r>
      <w:r w:rsidRPr="00857B72">
        <w:rPr>
          <w:rFonts w:ascii="Times New Roman" w:eastAsia="方正仿宋简体" w:hAnsi="Times New Roman" w:cs="Times New Roman" w:hint="eastAsia"/>
          <w:sz w:val="28"/>
          <w:szCs w:val="24"/>
        </w:rPr>
        <w:t>的同时，买入相应数量的认沽期权。</w:t>
      </w:r>
    </w:p>
    <w:p w:rsidR="00A45E66" w:rsidRDefault="0014170E" w:rsidP="009317A1">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投资者构建保险策略后，如果未来标的资产价格不低于认沽期权行权价，则认沽期权不行权，投资者损益等于其持有的标的资产的损益，再减去买入认沽期权的权利金支出。如果未来标的资产价格低于行权价，则认沽期权可行权，投资者可</w:t>
      </w:r>
      <w:r w:rsidRPr="00DC6F39">
        <w:rPr>
          <w:rFonts w:ascii="Times New Roman" w:eastAsia="方正仿宋简体" w:hAnsi="Times New Roman" w:cs="Times New Roman" w:hint="eastAsia"/>
          <w:sz w:val="28"/>
          <w:szCs w:val="24"/>
        </w:rPr>
        <w:t>以行权价卖出持有的标的资产。投资者损益等于行权价与标的资产买入价的差额，</w:t>
      </w:r>
      <w:r>
        <w:rPr>
          <w:rFonts w:ascii="Times New Roman" w:eastAsia="方正仿宋简体" w:hAnsi="Times New Roman" w:cs="Times New Roman" w:hint="eastAsia"/>
          <w:sz w:val="28"/>
          <w:szCs w:val="24"/>
        </w:rPr>
        <w:t>再减去买入认沽期权的权利金支出</w:t>
      </w:r>
      <w:r w:rsidRPr="00DC6F39">
        <w:rPr>
          <w:rFonts w:ascii="Times New Roman" w:eastAsia="方正仿宋简体" w:hAnsi="Times New Roman" w:cs="Times New Roman" w:hint="eastAsia"/>
          <w:sz w:val="28"/>
          <w:szCs w:val="24"/>
        </w:rPr>
        <w:t>。</w:t>
      </w:r>
      <w:r w:rsidR="006C763A">
        <w:rPr>
          <w:rFonts w:ascii="Times New Roman" w:eastAsia="方正仿宋简体" w:hAnsi="Times New Roman" w:cs="Times New Roman" w:hint="eastAsia"/>
          <w:sz w:val="28"/>
          <w:szCs w:val="24"/>
        </w:rPr>
        <w:t>保险策略的到期损益情况见图</w:t>
      </w:r>
      <w:r w:rsidR="006C763A">
        <w:rPr>
          <w:rFonts w:ascii="Times New Roman" w:eastAsia="方正仿宋简体" w:hAnsi="Times New Roman" w:cs="Times New Roman" w:hint="eastAsia"/>
          <w:sz w:val="28"/>
          <w:szCs w:val="24"/>
        </w:rPr>
        <w:t>2</w:t>
      </w:r>
      <w:r w:rsidR="001446D0">
        <w:rPr>
          <w:rFonts w:ascii="Times New Roman" w:eastAsia="方正仿宋简体" w:hAnsi="Times New Roman" w:cs="Times New Roman" w:hint="eastAsia"/>
          <w:sz w:val="28"/>
          <w:szCs w:val="24"/>
        </w:rPr>
        <w:t>。</w:t>
      </w:r>
    </w:p>
    <w:p w:rsidR="009317A1" w:rsidRDefault="009317A1" w:rsidP="009317A1">
      <w:pPr>
        <w:pStyle w:val="ac"/>
        <w:jc w:val="center"/>
        <w:rPr>
          <w:rFonts w:ascii="Times New Roman" w:eastAsia="方正仿宋简体" w:hAnsi="Times New Roman" w:cs="Times New Roman"/>
          <w:sz w:val="21"/>
        </w:rPr>
      </w:pPr>
      <w:r>
        <w:rPr>
          <w:noProof/>
        </w:rPr>
        <w:drawing>
          <wp:inline distT="0" distB="0" distL="0" distR="0" wp14:anchorId="421BC67D" wp14:editId="3E9A8A11">
            <wp:extent cx="3634740" cy="23088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634740" cy="2308860"/>
                    </a:xfrm>
                    <a:prstGeom prst="rect">
                      <a:avLst/>
                    </a:prstGeom>
                  </pic:spPr>
                </pic:pic>
              </a:graphicData>
            </a:graphic>
          </wp:inline>
        </w:drawing>
      </w:r>
    </w:p>
    <w:p w:rsidR="0027488F" w:rsidRPr="006902BD" w:rsidRDefault="00821873" w:rsidP="00950440">
      <w:pPr>
        <w:pStyle w:val="ac"/>
        <w:spacing w:line="560" w:lineRule="exact"/>
        <w:jc w:val="center"/>
        <w:rPr>
          <w:rFonts w:ascii="Times New Roman" w:eastAsia="方正仿宋简体" w:hAnsi="Times New Roman" w:cs="Times New Roman"/>
          <w:sz w:val="32"/>
          <w:szCs w:val="24"/>
        </w:rPr>
      </w:pPr>
      <w:r w:rsidRPr="006902BD">
        <w:rPr>
          <w:rFonts w:ascii="Times New Roman" w:eastAsia="方正仿宋简体" w:hAnsi="Times New Roman" w:cs="Times New Roman"/>
          <w:sz w:val="21"/>
        </w:rPr>
        <w:t>图</w:t>
      </w:r>
      <w:r w:rsidRPr="006902BD">
        <w:rPr>
          <w:rFonts w:ascii="Times New Roman" w:eastAsia="方正仿宋简体" w:hAnsi="Times New Roman" w:cs="Times New Roman"/>
          <w:sz w:val="21"/>
        </w:rPr>
        <w:fldChar w:fldCharType="begin"/>
      </w:r>
      <w:r w:rsidRPr="006902BD">
        <w:rPr>
          <w:rFonts w:ascii="Times New Roman" w:eastAsia="方正仿宋简体" w:hAnsi="Times New Roman" w:cs="Times New Roman"/>
          <w:sz w:val="21"/>
        </w:rPr>
        <w:instrText xml:space="preserve"> SEQ </w:instrText>
      </w:r>
      <w:r w:rsidRPr="006902BD">
        <w:rPr>
          <w:rFonts w:ascii="Times New Roman" w:eastAsia="方正仿宋简体" w:hAnsi="Times New Roman" w:cs="Times New Roman"/>
          <w:sz w:val="21"/>
        </w:rPr>
        <w:instrText>图</w:instrText>
      </w:r>
      <w:r w:rsidRPr="006902BD">
        <w:rPr>
          <w:rFonts w:ascii="Times New Roman" w:eastAsia="方正仿宋简体" w:hAnsi="Times New Roman" w:cs="Times New Roman"/>
          <w:sz w:val="21"/>
        </w:rPr>
        <w:instrText xml:space="preserve"> \* ARABIC </w:instrText>
      </w:r>
      <w:r w:rsidRPr="006902BD">
        <w:rPr>
          <w:rFonts w:ascii="Times New Roman" w:eastAsia="方正仿宋简体" w:hAnsi="Times New Roman" w:cs="Times New Roman"/>
          <w:sz w:val="21"/>
        </w:rPr>
        <w:fldChar w:fldCharType="separate"/>
      </w:r>
      <w:r w:rsidR="00CD119C" w:rsidRPr="006902BD">
        <w:rPr>
          <w:rFonts w:ascii="Times New Roman" w:eastAsia="方正仿宋简体" w:hAnsi="Times New Roman" w:cs="Times New Roman"/>
          <w:noProof/>
          <w:sz w:val="21"/>
        </w:rPr>
        <w:t>2</w:t>
      </w:r>
      <w:r w:rsidRPr="006902BD">
        <w:rPr>
          <w:rFonts w:ascii="Times New Roman" w:eastAsia="方正仿宋简体" w:hAnsi="Times New Roman" w:cs="Times New Roman"/>
          <w:sz w:val="21"/>
        </w:rPr>
        <w:fldChar w:fldCharType="end"/>
      </w:r>
      <w:r w:rsidRPr="006902BD">
        <w:rPr>
          <w:rFonts w:ascii="Times New Roman" w:eastAsia="方正仿宋简体" w:hAnsi="Times New Roman" w:cs="Times New Roman"/>
          <w:sz w:val="21"/>
        </w:rPr>
        <w:t>：保险策略</w:t>
      </w:r>
      <w:r w:rsidR="006C763A">
        <w:rPr>
          <w:rFonts w:ascii="Times New Roman" w:eastAsia="方正仿宋简体" w:hAnsi="Times New Roman" w:cs="Times New Roman"/>
          <w:sz w:val="21"/>
        </w:rPr>
        <w:t>到期</w:t>
      </w:r>
      <w:r w:rsidRPr="006902BD">
        <w:rPr>
          <w:rFonts w:ascii="Times New Roman" w:eastAsia="方正仿宋简体" w:hAnsi="Times New Roman" w:cs="Times New Roman"/>
          <w:sz w:val="21"/>
        </w:rPr>
        <w:t>损益图</w:t>
      </w:r>
    </w:p>
    <w:p w:rsidR="005F08AF" w:rsidRPr="004F1B33" w:rsidRDefault="005F08AF" w:rsidP="006902BD">
      <w:pPr>
        <w:spacing w:line="560" w:lineRule="exact"/>
        <w:ind w:firstLineChars="200" w:firstLine="560"/>
        <w:outlineLvl w:val="0"/>
        <w:rPr>
          <w:rFonts w:ascii="Times New Roman" w:eastAsia="方正仿宋简体" w:hAnsi="Times New Roman" w:cs="Times New Roman"/>
          <w:sz w:val="28"/>
          <w:szCs w:val="24"/>
        </w:rPr>
      </w:pPr>
      <w:r w:rsidRPr="004F1B33">
        <w:rPr>
          <w:rFonts w:ascii="Times New Roman" w:eastAsia="方正仿宋简体" w:hAnsi="Times New Roman" w:cs="Times New Roman"/>
          <w:sz w:val="28"/>
          <w:szCs w:val="24"/>
        </w:rPr>
        <w:t>保险策略</w:t>
      </w:r>
      <w:r w:rsidR="003D620E">
        <w:rPr>
          <w:rFonts w:ascii="Times New Roman" w:eastAsia="方正仿宋简体" w:hAnsi="Times New Roman" w:cs="Times New Roman"/>
          <w:sz w:val="28"/>
          <w:szCs w:val="24"/>
        </w:rPr>
        <w:t>的主要</w:t>
      </w:r>
      <w:r w:rsidR="00764328">
        <w:rPr>
          <w:rFonts w:ascii="Times New Roman" w:eastAsia="方正仿宋简体" w:hAnsi="Times New Roman" w:cs="Times New Roman" w:hint="eastAsia"/>
          <w:sz w:val="28"/>
          <w:szCs w:val="24"/>
        </w:rPr>
        <w:t>用途</w:t>
      </w:r>
      <w:r w:rsidR="003D620E">
        <w:rPr>
          <w:rFonts w:ascii="Times New Roman" w:eastAsia="方正仿宋简体" w:hAnsi="Times New Roman" w:cs="Times New Roman"/>
          <w:sz w:val="28"/>
          <w:szCs w:val="24"/>
        </w:rPr>
        <w:t>为</w:t>
      </w:r>
      <w:r w:rsidR="00CC59B4" w:rsidRPr="004F1B33">
        <w:rPr>
          <w:rFonts w:ascii="Times New Roman" w:eastAsia="方正仿宋简体" w:hAnsi="Times New Roman" w:cs="Times New Roman"/>
          <w:sz w:val="28"/>
          <w:szCs w:val="24"/>
        </w:rPr>
        <w:t>保护</w:t>
      </w:r>
      <w:r w:rsidR="00882097">
        <w:rPr>
          <w:rFonts w:ascii="Times New Roman" w:eastAsia="方正仿宋简体" w:hAnsi="Times New Roman" w:cs="Times New Roman" w:hint="eastAsia"/>
          <w:sz w:val="28"/>
          <w:szCs w:val="24"/>
        </w:rPr>
        <w:t>标的资产</w:t>
      </w:r>
      <w:r w:rsidR="003D620E">
        <w:rPr>
          <w:rFonts w:ascii="Times New Roman" w:eastAsia="方正仿宋简体" w:hAnsi="Times New Roman" w:cs="Times New Roman" w:hint="eastAsia"/>
          <w:sz w:val="28"/>
          <w:szCs w:val="24"/>
        </w:rPr>
        <w:t>的</w:t>
      </w:r>
      <w:r w:rsidR="003D620E">
        <w:rPr>
          <w:rFonts w:ascii="Times New Roman" w:eastAsia="方正仿宋简体" w:hAnsi="Times New Roman" w:cs="Times New Roman"/>
          <w:sz w:val="28"/>
          <w:szCs w:val="24"/>
        </w:rPr>
        <w:t>持仓收益</w:t>
      </w:r>
      <w:r w:rsidR="009353D8">
        <w:rPr>
          <w:rFonts w:ascii="Times New Roman" w:eastAsia="方正仿宋简体" w:hAnsi="Times New Roman" w:cs="Times New Roman" w:hint="eastAsia"/>
          <w:sz w:val="28"/>
          <w:szCs w:val="24"/>
        </w:rPr>
        <w:t>，</w:t>
      </w:r>
      <w:r w:rsidR="009353D8">
        <w:rPr>
          <w:rFonts w:ascii="Times New Roman" w:eastAsia="方正仿宋简体" w:hAnsi="Times New Roman" w:cs="Times New Roman"/>
          <w:sz w:val="28"/>
          <w:szCs w:val="24"/>
        </w:rPr>
        <w:t>因此</w:t>
      </w:r>
      <w:r w:rsidR="0014170E">
        <w:rPr>
          <w:rFonts w:ascii="Times New Roman" w:eastAsia="方正仿宋简体" w:hAnsi="Times New Roman" w:cs="Times New Roman" w:hint="eastAsia"/>
          <w:sz w:val="28"/>
          <w:szCs w:val="24"/>
        </w:rPr>
        <w:t>又</w:t>
      </w:r>
      <w:r w:rsidR="0014170E" w:rsidRPr="0014170E">
        <w:rPr>
          <w:rFonts w:ascii="Times New Roman" w:eastAsia="方正仿宋简体" w:hAnsi="Times New Roman" w:cs="Times New Roman" w:hint="eastAsia"/>
          <w:sz w:val="28"/>
          <w:szCs w:val="24"/>
        </w:rPr>
        <w:t>称为</w:t>
      </w:r>
      <w:r w:rsidR="009353D8">
        <w:rPr>
          <w:rFonts w:ascii="Times New Roman" w:eastAsia="方正仿宋简体" w:hAnsi="Times New Roman" w:cs="Times New Roman"/>
          <w:sz w:val="28"/>
          <w:szCs w:val="24"/>
        </w:rPr>
        <w:t>保护性认沽策略</w:t>
      </w:r>
      <w:r w:rsidR="009353D8">
        <w:rPr>
          <w:rFonts w:ascii="Times New Roman" w:eastAsia="方正仿宋简体" w:hAnsi="Times New Roman" w:cs="Times New Roman" w:hint="eastAsia"/>
          <w:sz w:val="28"/>
          <w:szCs w:val="24"/>
        </w:rPr>
        <w:t>。</w:t>
      </w:r>
      <w:r w:rsidR="00D73402">
        <w:rPr>
          <w:rFonts w:ascii="Times New Roman" w:eastAsia="方正仿宋简体" w:hAnsi="Times New Roman" w:cs="Times New Roman" w:hint="eastAsia"/>
          <w:sz w:val="28"/>
          <w:szCs w:val="24"/>
        </w:rPr>
        <w:t>认沽期权</w:t>
      </w:r>
      <w:r w:rsidR="0014170E" w:rsidRPr="004F1B33">
        <w:rPr>
          <w:rFonts w:ascii="Times New Roman" w:eastAsia="方正仿宋简体" w:hAnsi="Times New Roman" w:cs="Times New Roman"/>
          <w:sz w:val="28"/>
          <w:szCs w:val="24"/>
        </w:rPr>
        <w:t>到期时</w:t>
      </w:r>
      <w:r w:rsidR="0014170E">
        <w:rPr>
          <w:rFonts w:ascii="Times New Roman" w:eastAsia="方正仿宋简体" w:hAnsi="Times New Roman" w:cs="Times New Roman"/>
          <w:sz w:val="28"/>
          <w:szCs w:val="24"/>
        </w:rPr>
        <w:t>如果</w:t>
      </w:r>
      <w:r w:rsidR="0014170E">
        <w:rPr>
          <w:rFonts w:ascii="Times New Roman" w:eastAsia="方正仿宋简体" w:hAnsi="Times New Roman" w:cs="Times New Roman" w:hint="eastAsia"/>
          <w:sz w:val="28"/>
          <w:szCs w:val="24"/>
        </w:rPr>
        <w:t>标的</w:t>
      </w:r>
      <w:r w:rsidR="0014170E">
        <w:rPr>
          <w:rFonts w:ascii="Times New Roman" w:eastAsia="方正仿宋简体" w:hAnsi="Times New Roman" w:cs="Times New Roman"/>
          <w:sz w:val="28"/>
          <w:szCs w:val="24"/>
        </w:rPr>
        <w:t>价格</w:t>
      </w:r>
      <w:r w:rsidR="0014170E">
        <w:rPr>
          <w:rFonts w:ascii="Times New Roman" w:eastAsia="方正仿宋简体" w:hAnsi="Times New Roman" w:cs="Times New Roman" w:hint="eastAsia"/>
          <w:sz w:val="28"/>
          <w:szCs w:val="24"/>
        </w:rPr>
        <w:t>低于</w:t>
      </w:r>
      <w:r w:rsidR="0014170E" w:rsidRPr="004F1B33">
        <w:rPr>
          <w:rFonts w:ascii="Times New Roman" w:eastAsia="方正仿宋简体" w:hAnsi="Times New Roman" w:cs="Times New Roman"/>
          <w:sz w:val="28"/>
          <w:szCs w:val="24"/>
        </w:rPr>
        <w:t>行权价，</w:t>
      </w:r>
      <w:r w:rsidR="0014170E">
        <w:rPr>
          <w:rFonts w:ascii="Times New Roman" w:eastAsia="方正仿宋简体" w:hAnsi="Times New Roman" w:cs="Times New Roman"/>
          <w:sz w:val="28"/>
          <w:szCs w:val="24"/>
        </w:rPr>
        <w:t>投资者</w:t>
      </w:r>
      <w:r w:rsidR="0014170E" w:rsidRPr="004F1B33">
        <w:rPr>
          <w:rFonts w:ascii="Times New Roman" w:eastAsia="方正仿宋简体" w:hAnsi="Times New Roman" w:cs="Times New Roman"/>
          <w:sz w:val="28"/>
          <w:szCs w:val="24"/>
        </w:rPr>
        <w:t>能够锁定卖出价格</w:t>
      </w:r>
      <w:r w:rsidR="0014170E">
        <w:rPr>
          <w:rFonts w:ascii="Times New Roman" w:eastAsia="方正仿宋简体" w:hAnsi="Times New Roman" w:cs="Times New Roman"/>
          <w:sz w:val="28"/>
          <w:szCs w:val="24"/>
        </w:rPr>
        <w:t>为行权价</w:t>
      </w:r>
      <w:r w:rsidR="0014170E">
        <w:rPr>
          <w:rFonts w:ascii="Times New Roman" w:eastAsia="方正仿宋简体" w:hAnsi="Times New Roman" w:cs="Times New Roman" w:hint="eastAsia"/>
          <w:sz w:val="28"/>
          <w:szCs w:val="24"/>
        </w:rPr>
        <w:t>，</w:t>
      </w:r>
      <w:r w:rsidR="0014170E" w:rsidRPr="004F1B33">
        <w:rPr>
          <w:rFonts w:ascii="Times New Roman" w:eastAsia="方正仿宋简体" w:hAnsi="Times New Roman" w:cs="Times New Roman"/>
          <w:sz w:val="28"/>
          <w:szCs w:val="24"/>
        </w:rPr>
        <w:t>起到止损的作用。</w:t>
      </w:r>
      <w:r w:rsidR="009353D8">
        <w:rPr>
          <w:rFonts w:ascii="Times New Roman" w:eastAsia="方正仿宋简体" w:hAnsi="Times New Roman" w:cs="Times New Roman" w:hint="eastAsia"/>
          <w:sz w:val="28"/>
          <w:szCs w:val="24"/>
        </w:rPr>
        <w:t>其适用情形主要有以下三种：</w:t>
      </w:r>
      <w:r w:rsidR="00CC59B4" w:rsidRPr="004F1B33">
        <w:rPr>
          <w:rFonts w:ascii="Times New Roman" w:eastAsia="方正仿宋简体" w:hAnsi="Times New Roman" w:cs="Times New Roman"/>
          <w:sz w:val="28"/>
          <w:szCs w:val="24"/>
        </w:rPr>
        <w:t>一是</w:t>
      </w:r>
      <w:r w:rsidR="0027488F">
        <w:rPr>
          <w:rFonts w:ascii="Times New Roman" w:eastAsia="方正仿宋简体" w:hAnsi="Times New Roman" w:cs="Times New Roman"/>
          <w:sz w:val="28"/>
          <w:szCs w:val="24"/>
        </w:rPr>
        <w:t>投资者</w:t>
      </w:r>
      <w:r w:rsidR="00AE3400">
        <w:rPr>
          <w:rFonts w:ascii="Times New Roman" w:eastAsia="方正仿宋简体" w:hAnsi="Times New Roman" w:cs="Times New Roman"/>
          <w:sz w:val="28"/>
          <w:szCs w:val="24"/>
        </w:rPr>
        <w:t>因预期</w:t>
      </w:r>
      <w:r w:rsidR="00826198">
        <w:rPr>
          <w:rFonts w:ascii="Times New Roman" w:eastAsia="方正仿宋简体" w:hAnsi="Times New Roman" w:cs="Times New Roman"/>
          <w:sz w:val="28"/>
          <w:szCs w:val="24"/>
        </w:rPr>
        <w:t>标的</w:t>
      </w:r>
      <w:r w:rsidR="00AE3400">
        <w:rPr>
          <w:rFonts w:ascii="Times New Roman" w:eastAsia="方正仿宋简体" w:hAnsi="Times New Roman" w:cs="Times New Roman"/>
          <w:sz w:val="28"/>
          <w:szCs w:val="24"/>
        </w:rPr>
        <w:t>价格上涨</w:t>
      </w:r>
      <w:r w:rsidR="00FD4A8B">
        <w:rPr>
          <w:rFonts w:ascii="Times New Roman" w:eastAsia="方正仿宋简体" w:hAnsi="Times New Roman" w:cs="Times New Roman"/>
          <w:sz w:val="28"/>
          <w:szCs w:val="24"/>
        </w:rPr>
        <w:t>而</w:t>
      </w:r>
      <w:r w:rsidR="00C03372">
        <w:rPr>
          <w:rFonts w:ascii="Times New Roman" w:eastAsia="方正仿宋简体" w:hAnsi="Times New Roman" w:cs="Times New Roman" w:hint="eastAsia"/>
          <w:sz w:val="28"/>
          <w:szCs w:val="24"/>
        </w:rPr>
        <w:t>购</w:t>
      </w:r>
      <w:r w:rsidR="00AE3400">
        <w:rPr>
          <w:rFonts w:ascii="Times New Roman" w:eastAsia="方正仿宋简体" w:hAnsi="Times New Roman" w:cs="Times New Roman"/>
          <w:sz w:val="28"/>
          <w:szCs w:val="24"/>
        </w:rPr>
        <w:t>入</w:t>
      </w:r>
      <w:r w:rsidR="00882097">
        <w:rPr>
          <w:rFonts w:ascii="Times New Roman" w:eastAsia="方正仿宋简体" w:hAnsi="Times New Roman" w:cs="Times New Roman"/>
          <w:sz w:val="28"/>
          <w:szCs w:val="24"/>
        </w:rPr>
        <w:t>标的资产</w:t>
      </w:r>
      <w:r w:rsidR="00AE3400">
        <w:rPr>
          <w:rFonts w:ascii="Times New Roman" w:eastAsia="方正仿宋简体" w:hAnsi="Times New Roman" w:cs="Times New Roman" w:hint="eastAsia"/>
          <w:sz w:val="28"/>
          <w:szCs w:val="24"/>
        </w:rPr>
        <w:t>时</w:t>
      </w:r>
      <w:r w:rsidR="00882097">
        <w:rPr>
          <w:rFonts w:ascii="Times New Roman" w:eastAsia="方正仿宋简体" w:hAnsi="Times New Roman" w:cs="Times New Roman" w:hint="eastAsia"/>
          <w:sz w:val="28"/>
          <w:szCs w:val="24"/>
        </w:rPr>
        <w:t>，</w:t>
      </w:r>
      <w:r w:rsidR="00882097">
        <w:rPr>
          <w:rFonts w:ascii="Times New Roman" w:eastAsia="方正仿宋简体" w:hAnsi="Times New Roman" w:cs="Times New Roman"/>
          <w:sz w:val="28"/>
          <w:szCs w:val="24"/>
        </w:rPr>
        <w:t>为防范</w:t>
      </w:r>
      <w:r w:rsidR="00CC59B4" w:rsidRPr="004F1B33">
        <w:rPr>
          <w:rFonts w:ascii="Times New Roman" w:eastAsia="方正仿宋简体" w:hAnsi="Times New Roman" w:cs="Times New Roman"/>
          <w:sz w:val="28"/>
          <w:szCs w:val="24"/>
        </w:rPr>
        <w:t>下行</w:t>
      </w:r>
      <w:r w:rsidR="00AE3400">
        <w:rPr>
          <w:rFonts w:ascii="Times New Roman" w:eastAsia="方正仿宋简体" w:hAnsi="Times New Roman" w:cs="Times New Roman"/>
          <w:sz w:val="28"/>
          <w:szCs w:val="24"/>
        </w:rPr>
        <w:t>风险</w:t>
      </w:r>
      <w:r w:rsidR="00CC59B4" w:rsidRPr="004F1B33">
        <w:rPr>
          <w:rFonts w:ascii="Times New Roman" w:eastAsia="方正仿宋简体" w:hAnsi="Times New Roman" w:cs="Times New Roman"/>
          <w:sz w:val="28"/>
          <w:szCs w:val="24"/>
        </w:rPr>
        <w:t>，通过买入认沽期权锁定卖出价格；二是</w:t>
      </w:r>
      <w:r w:rsidR="009353D8">
        <w:rPr>
          <w:rFonts w:ascii="Times New Roman" w:eastAsia="方正仿宋简体" w:hAnsi="Times New Roman" w:cs="Times New Roman"/>
          <w:sz w:val="28"/>
          <w:szCs w:val="24"/>
        </w:rPr>
        <w:t>投资者</w:t>
      </w:r>
      <w:r w:rsidR="00CC59B4" w:rsidRPr="004F1B33">
        <w:rPr>
          <w:rFonts w:ascii="Times New Roman" w:eastAsia="方正仿宋简体" w:hAnsi="Times New Roman" w:cs="Times New Roman"/>
          <w:sz w:val="28"/>
          <w:szCs w:val="24"/>
        </w:rPr>
        <w:t>预期市场下行，但</w:t>
      </w:r>
      <w:r w:rsidR="00882097">
        <w:rPr>
          <w:rFonts w:ascii="Times New Roman" w:eastAsia="方正仿宋简体" w:hAnsi="Times New Roman" w:cs="Times New Roman" w:hint="eastAsia"/>
          <w:sz w:val="28"/>
          <w:szCs w:val="24"/>
        </w:rPr>
        <w:t>标的资产因</w:t>
      </w:r>
      <w:r w:rsidR="00C560D0">
        <w:rPr>
          <w:rFonts w:ascii="Times New Roman" w:eastAsia="方正仿宋简体" w:hAnsi="Times New Roman" w:cs="Times New Roman"/>
          <w:sz w:val="28"/>
          <w:szCs w:val="24"/>
        </w:rPr>
        <w:t>被</w:t>
      </w:r>
      <w:r w:rsidR="00CC59B4" w:rsidRPr="004F1B33">
        <w:rPr>
          <w:rFonts w:ascii="Times New Roman" w:eastAsia="方正仿宋简体" w:hAnsi="Times New Roman" w:cs="Times New Roman"/>
          <w:sz w:val="28"/>
          <w:szCs w:val="24"/>
        </w:rPr>
        <w:t>质押</w:t>
      </w:r>
      <w:r w:rsidR="00882097">
        <w:rPr>
          <w:rFonts w:ascii="Times New Roman" w:eastAsia="方正仿宋简体" w:hAnsi="Times New Roman" w:cs="Times New Roman" w:hint="eastAsia"/>
          <w:sz w:val="28"/>
          <w:szCs w:val="24"/>
        </w:rPr>
        <w:t>等原因</w:t>
      </w:r>
      <w:r w:rsidR="00CC59B4" w:rsidRPr="004F1B33">
        <w:rPr>
          <w:rFonts w:ascii="Times New Roman" w:eastAsia="方正仿宋简体" w:hAnsi="Times New Roman" w:cs="Times New Roman"/>
          <w:sz w:val="28"/>
          <w:szCs w:val="24"/>
        </w:rPr>
        <w:t>一时无法抛售</w:t>
      </w:r>
      <w:r w:rsidR="009353D8">
        <w:rPr>
          <w:rFonts w:ascii="Times New Roman" w:eastAsia="方正仿宋简体" w:hAnsi="Times New Roman" w:cs="Times New Roman" w:hint="eastAsia"/>
          <w:sz w:val="28"/>
          <w:szCs w:val="24"/>
        </w:rPr>
        <w:t>，通过保险策略</w:t>
      </w:r>
      <w:r w:rsidR="00CC59B4" w:rsidRPr="004F1B33">
        <w:rPr>
          <w:rFonts w:ascii="Times New Roman" w:eastAsia="方正仿宋简体" w:hAnsi="Times New Roman" w:cs="Times New Roman"/>
          <w:sz w:val="28"/>
          <w:szCs w:val="24"/>
        </w:rPr>
        <w:t>对冲</w:t>
      </w:r>
      <w:r w:rsidR="00882097">
        <w:rPr>
          <w:rFonts w:ascii="Times New Roman" w:eastAsia="方正仿宋简体" w:hAnsi="Times New Roman" w:cs="Times New Roman" w:hint="eastAsia"/>
          <w:sz w:val="28"/>
          <w:szCs w:val="24"/>
        </w:rPr>
        <w:t>标的资产</w:t>
      </w:r>
      <w:r w:rsidR="00CC59B4" w:rsidRPr="004F1B33">
        <w:rPr>
          <w:rFonts w:ascii="Times New Roman" w:eastAsia="方正仿宋简体" w:hAnsi="Times New Roman" w:cs="Times New Roman"/>
          <w:sz w:val="28"/>
          <w:szCs w:val="24"/>
        </w:rPr>
        <w:t>下行风险；三是</w:t>
      </w:r>
      <w:r w:rsidR="0027488F">
        <w:rPr>
          <w:rFonts w:ascii="Times New Roman" w:eastAsia="方正仿宋简体" w:hAnsi="Times New Roman" w:cs="Times New Roman"/>
          <w:sz w:val="28"/>
          <w:szCs w:val="24"/>
        </w:rPr>
        <w:t>投资者</w:t>
      </w:r>
      <w:r w:rsidR="00CC59B4" w:rsidRPr="004F1B33">
        <w:rPr>
          <w:rFonts w:ascii="Times New Roman" w:eastAsia="方正仿宋简体" w:hAnsi="Times New Roman" w:cs="Times New Roman"/>
          <w:sz w:val="28"/>
          <w:szCs w:val="24"/>
        </w:rPr>
        <w:t>长期</w:t>
      </w:r>
      <w:r w:rsidR="009353D8">
        <w:rPr>
          <w:rFonts w:ascii="Times New Roman" w:eastAsia="方正仿宋简体" w:hAnsi="Times New Roman" w:cs="Times New Roman"/>
          <w:sz w:val="28"/>
          <w:szCs w:val="24"/>
        </w:rPr>
        <w:t>持有</w:t>
      </w:r>
      <w:r w:rsidR="00AE3400">
        <w:rPr>
          <w:rFonts w:ascii="Times New Roman" w:eastAsia="方正仿宋简体" w:hAnsi="Times New Roman" w:cs="Times New Roman" w:hint="eastAsia"/>
          <w:sz w:val="28"/>
          <w:szCs w:val="24"/>
        </w:rPr>
        <w:t>标的</w:t>
      </w:r>
      <w:r w:rsidR="00AE3400">
        <w:rPr>
          <w:rFonts w:ascii="Times New Roman" w:eastAsia="方正仿宋简体" w:hAnsi="Times New Roman" w:cs="Times New Roman"/>
          <w:sz w:val="28"/>
          <w:szCs w:val="24"/>
        </w:rPr>
        <w:t>资产</w:t>
      </w:r>
      <w:r w:rsidR="009353D8">
        <w:rPr>
          <w:rFonts w:ascii="Times New Roman" w:eastAsia="方正仿宋简体" w:hAnsi="Times New Roman" w:cs="Times New Roman" w:hint="eastAsia"/>
          <w:sz w:val="28"/>
          <w:szCs w:val="24"/>
        </w:rPr>
        <w:t>，</w:t>
      </w:r>
      <w:r w:rsidR="00CC59B4" w:rsidRPr="004F1B33">
        <w:rPr>
          <w:rFonts w:ascii="Times New Roman" w:eastAsia="方正仿宋简体" w:hAnsi="Times New Roman" w:cs="Times New Roman"/>
          <w:sz w:val="28"/>
          <w:szCs w:val="24"/>
        </w:rPr>
        <w:t>已获得良好收益，</w:t>
      </w:r>
      <w:r w:rsidR="00C03372">
        <w:rPr>
          <w:rFonts w:ascii="Times New Roman" w:eastAsia="方正仿宋简体" w:hAnsi="Times New Roman" w:cs="Times New Roman" w:hint="eastAsia"/>
          <w:sz w:val="28"/>
          <w:szCs w:val="24"/>
        </w:rPr>
        <w:t>利用保险策略</w:t>
      </w:r>
      <w:r w:rsidR="009353D8">
        <w:rPr>
          <w:rFonts w:ascii="Times New Roman" w:eastAsia="方正仿宋简体" w:hAnsi="Times New Roman" w:cs="Times New Roman"/>
          <w:sz w:val="28"/>
          <w:szCs w:val="24"/>
        </w:rPr>
        <w:t>在</w:t>
      </w:r>
      <w:r w:rsidR="00CC59B4" w:rsidRPr="004F1B33">
        <w:rPr>
          <w:rFonts w:ascii="Times New Roman" w:eastAsia="方正仿宋简体" w:hAnsi="Times New Roman" w:cs="Times New Roman"/>
          <w:sz w:val="28"/>
          <w:szCs w:val="24"/>
        </w:rPr>
        <w:t>锁定已有收益</w:t>
      </w:r>
      <w:r w:rsidR="009353D8">
        <w:rPr>
          <w:rFonts w:ascii="Times New Roman" w:eastAsia="方正仿宋简体" w:hAnsi="Times New Roman" w:cs="Times New Roman"/>
          <w:sz w:val="28"/>
          <w:szCs w:val="24"/>
        </w:rPr>
        <w:t>的</w:t>
      </w:r>
      <w:r w:rsidR="00CC59B4" w:rsidRPr="004F1B33">
        <w:rPr>
          <w:rFonts w:ascii="Times New Roman" w:eastAsia="方正仿宋简体" w:hAnsi="Times New Roman" w:cs="Times New Roman"/>
          <w:sz w:val="28"/>
          <w:szCs w:val="24"/>
        </w:rPr>
        <w:t>同时保留</w:t>
      </w:r>
      <w:r w:rsidR="00C03372">
        <w:rPr>
          <w:rFonts w:ascii="Times New Roman" w:eastAsia="方正仿宋简体" w:hAnsi="Times New Roman" w:cs="Times New Roman"/>
          <w:sz w:val="28"/>
          <w:szCs w:val="24"/>
        </w:rPr>
        <w:t>标的资产</w:t>
      </w:r>
      <w:r w:rsidR="00CC59B4" w:rsidRPr="004F1B33">
        <w:rPr>
          <w:rFonts w:ascii="Times New Roman" w:eastAsia="方正仿宋简体" w:hAnsi="Times New Roman" w:cs="Times New Roman"/>
          <w:sz w:val="28"/>
          <w:szCs w:val="24"/>
        </w:rPr>
        <w:t>上行空间。</w:t>
      </w:r>
    </w:p>
    <w:p w:rsidR="00995BB2" w:rsidRDefault="00995BB2" w:rsidP="00995BB2">
      <w:pPr>
        <w:spacing w:line="560" w:lineRule="exact"/>
        <w:ind w:firstLineChars="200" w:firstLine="560"/>
        <w:rPr>
          <w:rFonts w:ascii="Times New Roman" w:eastAsia="方正仿宋简体" w:hAnsi="Times New Roman" w:cs="Times New Roman"/>
          <w:sz w:val="28"/>
          <w:szCs w:val="24"/>
        </w:rPr>
      </w:pPr>
      <w:r w:rsidRPr="00995BB2">
        <w:rPr>
          <w:rFonts w:ascii="Times New Roman" w:eastAsia="方正仿宋简体" w:hAnsi="Times New Roman" w:cs="Times New Roman" w:hint="eastAsia"/>
          <w:sz w:val="28"/>
          <w:szCs w:val="24"/>
        </w:rPr>
        <w:t>我们</w:t>
      </w:r>
      <w:r w:rsidR="0014170E">
        <w:rPr>
          <w:rFonts w:ascii="Times New Roman" w:eastAsia="方正仿宋简体" w:hAnsi="Times New Roman" w:cs="Times New Roman" w:hint="eastAsia"/>
          <w:sz w:val="28"/>
          <w:szCs w:val="24"/>
        </w:rPr>
        <w:t>可以根据市场行情选择使用备兑策略或保险策略。</w:t>
      </w:r>
      <w:r w:rsidRPr="00995BB2">
        <w:rPr>
          <w:rFonts w:ascii="Times New Roman" w:eastAsia="方正仿宋简体" w:hAnsi="Times New Roman" w:cs="Times New Roman" w:hint="eastAsia"/>
          <w:sz w:val="28"/>
          <w:szCs w:val="24"/>
        </w:rPr>
        <w:t>市场行情走势</w:t>
      </w:r>
      <w:r w:rsidR="0014170E">
        <w:rPr>
          <w:rFonts w:ascii="Times New Roman" w:eastAsia="方正仿宋简体" w:hAnsi="Times New Roman" w:cs="Times New Roman" w:hint="eastAsia"/>
          <w:sz w:val="28"/>
          <w:szCs w:val="24"/>
        </w:rPr>
        <w:t>大致可以</w:t>
      </w:r>
      <w:r w:rsidRPr="00995BB2">
        <w:rPr>
          <w:rFonts w:ascii="Times New Roman" w:eastAsia="方正仿宋简体" w:hAnsi="Times New Roman" w:cs="Times New Roman" w:hint="eastAsia"/>
          <w:sz w:val="28"/>
          <w:szCs w:val="24"/>
        </w:rPr>
        <w:t>分为三</w:t>
      </w:r>
      <w:r w:rsidR="0014170E">
        <w:rPr>
          <w:rFonts w:ascii="Times New Roman" w:eastAsia="方正仿宋简体" w:hAnsi="Times New Roman" w:cs="Times New Roman" w:hint="eastAsia"/>
          <w:sz w:val="28"/>
          <w:szCs w:val="24"/>
        </w:rPr>
        <w:t>种类型</w:t>
      </w:r>
      <w:r w:rsidRPr="00995BB2">
        <w:rPr>
          <w:rFonts w:ascii="Times New Roman" w:eastAsia="方正仿宋简体" w:hAnsi="Times New Roman" w:cs="Times New Roman" w:hint="eastAsia"/>
          <w:sz w:val="28"/>
          <w:szCs w:val="24"/>
        </w:rPr>
        <w:t>：单边上涨、震荡盘整、单边下跌。在单边上涨行情，我们可以单纯持有标的资产；在震荡盘整行情，我们可以</w:t>
      </w:r>
      <w:r w:rsidR="00FE0746" w:rsidRPr="00FE0746">
        <w:rPr>
          <w:rFonts w:ascii="Times New Roman" w:eastAsia="方正仿宋简体" w:hAnsi="Times New Roman" w:cs="Times New Roman" w:hint="eastAsia"/>
          <w:sz w:val="28"/>
          <w:szCs w:val="24"/>
        </w:rPr>
        <w:t>持有标的资产</w:t>
      </w:r>
      <w:r w:rsidR="00F933B9">
        <w:rPr>
          <w:rFonts w:ascii="Times New Roman" w:eastAsia="方正仿宋简体" w:hAnsi="Times New Roman" w:cs="Times New Roman" w:hint="eastAsia"/>
          <w:sz w:val="28"/>
          <w:szCs w:val="24"/>
        </w:rPr>
        <w:t>，同时</w:t>
      </w:r>
      <w:r w:rsidRPr="00995BB2">
        <w:rPr>
          <w:rFonts w:ascii="Times New Roman" w:eastAsia="方正仿宋简体" w:hAnsi="Times New Roman" w:cs="Times New Roman" w:hint="eastAsia"/>
          <w:sz w:val="28"/>
          <w:szCs w:val="24"/>
        </w:rPr>
        <w:t>通过逢高卖出认购期权构建备兑策略；</w:t>
      </w:r>
      <w:r w:rsidR="00F933B9">
        <w:rPr>
          <w:rFonts w:ascii="Times New Roman" w:eastAsia="方正仿宋简体" w:hAnsi="Times New Roman" w:cs="Times New Roman" w:hint="eastAsia"/>
          <w:sz w:val="28"/>
          <w:szCs w:val="24"/>
        </w:rPr>
        <w:t>在</w:t>
      </w:r>
      <w:r w:rsidRPr="00995BB2">
        <w:rPr>
          <w:rFonts w:ascii="Times New Roman" w:eastAsia="方正仿宋简体" w:hAnsi="Times New Roman" w:cs="Times New Roman" w:hint="eastAsia"/>
          <w:sz w:val="28"/>
          <w:szCs w:val="24"/>
        </w:rPr>
        <w:t>单边下跌行情，我们可以在持有标的资产的基础上</w:t>
      </w:r>
      <w:r w:rsidR="00F933B9">
        <w:rPr>
          <w:rFonts w:ascii="Times New Roman" w:eastAsia="方正仿宋简体" w:hAnsi="Times New Roman" w:cs="Times New Roman" w:hint="eastAsia"/>
          <w:sz w:val="28"/>
          <w:szCs w:val="24"/>
        </w:rPr>
        <w:t>，</w:t>
      </w:r>
      <w:r w:rsidR="0080531B">
        <w:rPr>
          <w:rFonts w:ascii="Times New Roman" w:eastAsia="方正仿宋简体" w:hAnsi="Times New Roman" w:cs="Times New Roman" w:hint="eastAsia"/>
          <w:sz w:val="28"/>
          <w:szCs w:val="24"/>
        </w:rPr>
        <w:t>买入认沽期权构建保险策略</w:t>
      </w:r>
      <w:r w:rsidRPr="00995BB2">
        <w:rPr>
          <w:rFonts w:ascii="Times New Roman" w:eastAsia="方正仿宋简体" w:hAnsi="Times New Roman" w:cs="Times New Roman" w:hint="eastAsia"/>
          <w:sz w:val="28"/>
          <w:szCs w:val="24"/>
        </w:rPr>
        <w:t>，付出小额的权利金</w:t>
      </w:r>
      <w:r w:rsidR="00826198">
        <w:rPr>
          <w:rFonts w:ascii="Times New Roman" w:eastAsia="方正仿宋简体" w:hAnsi="Times New Roman" w:cs="Times New Roman" w:hint="eastAsia"/>
          <w:sz w:val="28"/>
          <w:szCs w:val="24"/>
        </w:rPr>
        <w:t>作</w:t>
      </w:r>
      <w:r w:rsidRPr="00995BB2">
        <w:rPr>
          <w:rFonts w:ascii="Times New Roman" w:eastAsia="方正仿宋简体" w:hAnsi="Times New Roman" w:cs="Times New Roman" w:hint="eastAsia"/>
          <w:sz w:val="28"/>
          <w:szCs w:val="24"/>
        </w:rPr>
        <w:t>“保险费”，对冲标的资产下行风险。</w:t>
      </w:r>
    </w:p>
    <w:p w:rsidR="003C06FC" w:rsidRPr="009F3445" w:rsidRDefault="0014170E" w:rsidP="009F3445">
      <w:pPr>
        <w:spacing w:beforeLines="100" w:before="312" w:line="560" w:lineRule="exact"/>
        <w:ind w:firstLineChars="200" w:firstLine="560"/>
        <w:rPr>
          <w:rFonts w:ascii="黑体" w:eastAsia="黑体" w:hAnsi="黑体" w:cs="Times New Roman"/>
          <w:sz w:val="28"/>
          <w:szCs w:val="24"/>
        </w:rPr>
      </w:pPr>
      <w:r>
        <w:rPr>
          <w:rFonts w:ascii="黑体" w:eastAsia="黑体" w:hAnsi="黑体" w:cs="Times New Roman" w:hint="eastAsia"/>
          <w:sz w:val="28"/>
          <w:szCs w:val="24"/>
        </w:rPr>
        <w:t>二</w:t>
      </w:r>
      <w:r w:rsidR="004E13F2" w:rsidRPr="009F3445">
        <w:rPr>
          <w:rFonts w:ascii="黑体" w:eastAsia="黑体" w:hAnsi="黑体" w:cs="Times New Roman" w:hint="eastAsia"/>
          <w:sz w:val="28"/>
          <w:szCs w:val="24"/>
        </w:rPr>
        <w:t>、</w:t>
      </w:r>
      <w:r w:rsidR="003C06FC" w:rsidRPr="009F3445">
        <w:rPr>
          <w:rFonts w:ascii="黑体" w:eastAsia="黑体" w:hAnsi="黑体" w:cs="Times New Roman"/>
          <w:sz w:val="28"/>
          <w:szCs w:val="24"/>
        </w:rPr>
        <w:t>一级</w:t>
      </w:r>
      <w:r w:rsidR="008E74C9" w:rsidRPr="009F3445">
        <w:rPr>
          <w:rFonts w:ascii="黑体" w:eastAsia="黑体" w:hAnsi="黑体" w:cs="Times New Roman" w:hint="eastAsia"/>
          <w:sz w:val="28"/>
          <w:szCs w:val="24"/>
        </w:rPr>
        <w:t>投资者</w:t>
      </w:r>
      <w:r w:rsidR="00027DAF" w:rsidRPr="009F3445">
        <w:rPr>
          <w:rFonts w:ascii="黑体" w:eastAsia="黑体" w:hAnsi="黑体" w:cs="Times New Roman" w:hint="eastAsia"/>
          <w:sz w:val="28"/>
          <w:szCs w:val="24"/>
        </w:rPr>
        <w:t>注意事项</w:t>
      </w:r>
    </w:p>
    <w:p w:rsidR="00B167EB" w:rsidRDefault="00B167EB" w:rsidP="00652065">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一级投资者在使用备兑策略或保险策略时，</w:t>
      </w:r>
      <w:r w:rsidR="002D6716">
        <w:rPr>
          <w:rFonts w:ascii="Times New Roman" w:eastAsia="方正仿宋简体" w:hAnsi="Times New Roman" w:cs="Times New Roman" w:hint="eastAsia"/>
          <w:sz w:val="28"/>
          <w:szCs w:val="24"/>
        </w:rPr>
        <w:t>还应</w:t>
      </w:r>
      <w:r>
        <w:rPr>
          <w:rFonts w:ascii="Times New Roman" w:eastAsia="方正仿宋简体" w:hAnsi="Times New Roman" w:cs="Times New Roman" w:hint="eastAsia"/>
          <w:sz w:val="28"/>
          <w:szCs w:val="24"/>
        </w:rPr>
        <w:t>注意</w:t>
      </w:r>
      <w:r w:rsidR="00EC6BC9">
        <w:rPr>
          <w:rFonts w:ascii="Times New Roman" w:eastAsia="方正仿宋简体" w:hAnsi="Times New Roman" w:cs="Times New Roman" w:hint="eastAsia"/>
          <w:sz w:val="28"/>
          <w:szCs w:val="24"/>
        </w:rPr>
        <w:t>如下事项。</w:t>
      </w:r>
    </w:p>
    <w:p w:rsidR="00B167EB" w:rsidRPr="00D47BEB" w:rsidRDefault="00B167EB" w:rsidP="00D47BEB">
      <w:pPr>
        <w:spacing w:line="560" w:lineRule="exact"/>
        <w:ind w:firstLineChars="200" w:firstLine="560"/>
        <w:rPr>
          <w:rFonts w:ascii="楷体" w:eastAsia="楷体" w:hAnsi="楷体" w:cs="Times New Roman"/>
          <w:bCs/>
          <w:sz w:val="28"/>
          <w:szCs w:val="24"/>
        </w:rPr>
      </w:pPr>
      <w:bookmarkStart w:id="0" w:name="_Toc498586571"/>
      <w:r w:rsidRPr="00D47BEB">
        <w:rPr>
          <w:rFonts w:ascii="楷体" w:eastAsia="楷体" w:hAnsi="楷体" w:cs="Times New Roman" w:hint="eastAsia"/>
          <w:bCs/>
          <w:sz w:val="28"/>
          <w:szCs w:val="24"/>
        </w:rPr>
        <w:t>（一）</w:t>
      </w:r>
      <w:r w:rsidR="00644537" w:rsidRPr="00D47BEB">
        <w:rPr>
          <w:rFonts w:ascii="楷体" w:eastAsia="楷体" w:hAnsi="楷体" w:cs="Times New Roman" w:hint="eastAsia"/>
          <w:bCs/>
          <w:sz w:val="28"/>
          <w:szCs w:val="24"/>
        </w:rPr>
        <w:t>使用备兑</w:t>
      </w:r>
      <w:r w:rsidRPr="00D47BEB">
        <w:rPr>
          <w:rFonts w:ascii="楷体" w:eastAsia="楷体" w:hAnsi="楷体" w:cs="Times New Roman" w:hint="eastAsia"/>
          <w:bCs/>
          <w:sz w:val="28"/>
          <w:szCs w:val="24"/>
        </w:rPr>
        <w:t>策略的注意</w:t>
      </w:r>
      <w:bookmarkEnd w:id="0"/>
      <w:r w:rsidRPr="00D47BEB">
        <w:rPr>
          <w:rFonts w:ascii="楷体" w:eastAsia="楷体" w:hAnsi="楷体" w:cs="Times New Roman" w:hint="eastAsia"/>
          <w:bCs/>
          <w:sz w:val="28"/>
          <w:szCs w:val="24"/>
        </w:rPr>
        <w:t>事项</w:t>
      </w:r>
    </w:p>
    <w:p w:rsidR="00B167EB" w:rsidRPr="00B167EB" w:rsidRDefault="002D6716" w:rsidP="00276A4E">
      <w:pPr>
        <w:spacing w:line="560" w:lineRule="exact"/>
        <w:ind w:firstLineChars="200" w:firstLine="562"/>
        <w:rPr>
          <w:rFonts w:ascii="Times New Roman" w:eastAsia="方正仿宋简体" w:hAnsi="Times New Roman" w:cs="Times New Roman"/>
          <w:sz w:val="28"/>
          <w:szCs w:val="24"/>
        </w:rPr>
      </w:pPr>
      <w:r w:rsidRPr="002D6716">
        <w:rPr>
          <w:rFonts w:ascii="Times New Roman" w:eastAsia="方正仿宋简体" w:hAnsi="Times New Roman" w:cs="Times New Roman" w:hint="eastAsia"/>
          <w:b/>
          <w:sz w:val="28"/>
          <w:szCs w:val="24"/>
        </w:rPr>
        <w:t xml:space="preserve">1. </w:t>
      </w:r>
      <w:r w:rsidR="00B167EB" w:rsidRPr="002D6716">
        <w:rPr>
          <w:rFonts w:ascii="Times New Roman" w:eastAsia="方正仿宋简体" w:hAnsi="Times New Roman" w:cs="Times New Roman" w:hint="eastAsia"/>
          <w:b/>
          <w:sz w:val="28"/>
          <w:szCs w:val="24"/>
        </w:rPr>
        <w:t>使用条件：</w:t>
      </w:r>
      <w:r w:rsidR="00644537">
        <w:rPr>
          <w:rFonts w:ascii="Times New Roman" w:eastAsia="方正仿宋简体" w:hAnsi="Times New Roman" w:cs="Times New Roman" w:hint="eastAsia"/>
          <w:sz w:val="28"/>
          <w:szCs w:val="24"/>
        </w:rPr>
        <w:t>投资者只有在持有</w:t>
      </w:r>
      <w:r w:rsidR="00D47BEB">
        <w:rPr>
          <w:rFonts w:ascii="Times New Roman" w:eastAsia="方正仿宋简体" w:hAnsi="Times New Roman" w:cs="Times New Roman" w:hint="eastAsia"/>
          <w:sz w:val="28"/>
          <w:szCs w:val="24"/>
        </w:rPr>
        <w:t>股票或</w:t>
      </w:r>
      <w:r w:rsidR="00D47BEB">
        <w:rPr>
          <w:rFonts w:ascii="Times New Roman" w:eastAsia="方正仿宋简体" w:hAnsi="Times New Roman" w:cs="Times New Roman" w:hint="eastAsia"/>
          <w:sz w:val="28"/>
          <w:szCs w:val="24"/>
        </w:rPr>
        <w:t>ETF</w:t>
      </w:r>
      <w:r w:rsidR="0080531B">
        <w:rPr>
          <w:rFonts w:ascii="Times New Roman" w:eastAsia="方正仿宋简体" w:hAnsi="Times New Roman" w:cs="Times New Roman" w:hint="eastAsia"/>
          <w:sz w:val="28"/>
          <w:szCs w:val="24"/>
        </w:rPr>
        <w:t>等</w:t>
      </w:r>
      <w:r w:rsidR="00644537">
        <w:rPr>
          <w:rFonts w:ascii="Times New Roman" w:eastAsia="方正仿宋简体" w:hAnsi="Times New Roman" w:cs="Times New Roman" w:hint="eastAsia"/>
          <w:sz w:val="28"/>
          <w:szCs w:val="24"/>
        </w:rPr>
        <w:t>标的资产</w:t>
      </w:r>
      <w:r w:rsidR="00B167EB" w:rsidRPr="00B167EB">
        <w:rPr>
          <w:rFonts w:ascii="Times New Roman" w:eastAsia="方正仿宋简体" w:hAnsi="Times New Roman" w:cs="Times New Roman" w:hint="eastAsia"/>
          <w:sz w:val="28"/>
          <w:szCs w:val="24"/>
        </w:rPr>
        <w:t>的前提下，才能</w:t>
      </w:r>
      <w:r>
        <w:rPr>
          <w:rFonts w:ascii="Times New Roman" w:eastAsia="方正仿宋简体" w:hAnsi="Times New Roman" w:cs="Times New Roman" w:hint="eastAsia"/>
          <w:sz w:val="28"/>
          <w:szCs w:val="24"/>
        </w:rPr>
        <w:t>使用备兑策略</w:t>
      </w:r>
      <w:r w:rsidR="00B167EB" w:rsidRPr="00B167EB">
        <w:rPr>
          <w:rFonts w:ascii="Times New Roman" w:eastAsia="方正仿宋简体" w:hAnsi="Times New Roman" w:cs="Times New Roman" w:hint="eastAsia"/>
          <w:sz w:val="28"/>
          <w:szCs w:val="24"/>
        </w:rPr>
        <w:t>。如需提前卖出用于备兑开仓的</w:t>
      </w:r>
      <w:r w:rsidR="00644537">
        <w:rPr>
          <w:rFonts w:ascii="Times New Roman" w:eastAsia="方正仿宋简体" w:hAnsi="Times New Roman" w:cs="Times New Roman" w:hint="eastAsia"/>
          <w:sz w:val="28"/>
          <w:szCs w:val="24"/>
        </w:rPr>
        <w:t>标的</w:t>
      </w:r>
      <w:r w:rsidR="00027DAF">
        <w:rPr>
          <w:rFonts w:ascii="Times New Roman" w:eastAsia="方正仿宋简体" w:hAnsi="Times New Roman" w:cs="Times New Roman" w:hint="eastAsia"/>
          <w:sz w:val="28"/>
          <w:szCs w:val="24"/>
        </w:rPr>
        <w:t>资产</w:t>
      </w:r>
      <w:r w:rsidR="00B167EB" w:rsidRPr="00B167EB">
        <w:rPr>
          <w:rFonts w:ascii="Times New Roman" w:eastAsia="方正仿宋简体" w:hAnsi="Times New Roman" w:cs="Times New Roman" w:hint="eastAsia"/>
          <w:sz w:val="28"/>
          <w:szCs w:val="24"/>
        </w:rPr>
        <w:t>时，应先</w:t>
      </w:r>
      <w:r w:rsidR="00EB01CA">
        <w:rPr>
          <w:rFonts w:ascii="Times New Roman" w:eastAsia="方正仿宋简体" w:hAnsi="Times New Roman" w:cs="Times New Roman" w:hint="eastAsia"/>
          <w:sz w:val="28"/>
          <w:szCs w:val="24"/>
        </w:rPr>
        <w:t>将对应期权</w:t>
      </w:r>
      <w:r w:rsidR="00B167EB" w:rsidRPr="00B167EB">
        <w:rPr>
          <w:rFonts w:ascii="Times New Roman" w:eastAsia="方正仿宋简体" w:hAnsi="Times New Roman" w:cs="Times New Roman" w:hint="eastAsia"/>
          <w:sz w:val="28"/>
          <w:szCs w:val="24"/>
        </w:rPr>
        <w:t>平仓，才能</w:t>
      </w:r>
      <w:r w:rsidR="00027DAF">
        <w:rPr>
          <w:rFonts w:ascii="Times New Roman" w:eastAsia="方正仿宋简体" w:hAnsi="Times New Roman" w:cs="Times New Roman" w:hint="eastAsia"/>
          <w:sz w:val="28"/>
          <w:szCs w:val="24"/>
        </w:rPr>
        <w:t>卖出</w:t>
      </w:r>
      <w:r w:rsidR="00B167EB" w:rsidRPr="00B167EB">
        <w:rPr>
          <w:rFonts w:ascii="Times New Roman" w:eastAsia="方正仿宋简体" w:hAnsi="Times New Roman" w:cs="Times New Roman" w:hint="eastAsia"/>
          <w:sz w:val="28"/>
          <w:szCs w:val="24"/>
        </w:rPr>
        <w:t>标的</w:t>
      </w:r>
      <w:r w:rsidR="0080531B">
        <w:rPr>
          <w:rFonts w:ascii="Times New Roman" w:eastAsia="方正仿宋简体" w:hAnsi="Times New Roman" w:cs="Times New Roman" w:hint="eastAsia"/>
          <w:sz w:val="28"/>
          <w:szCs w:val="24"/>
        </w:rPr>
        <w:t>资产</w:t>
      </w:r>
      <w:r w:rsidR="00B167EB" w:rsidRPr="00B167EB">
        <w:rPr>
          <w:rFonts w:ascii="Times New Roman" w:eastAsia="方正仿宋简体" w:hAnsi="Times New Roman" w:cs="Times New Roman" w:hint="eastAsia"/>
          <w:sz w:val="28"/>
          <w:szCs w:val="24"/>
        </w:rPr>
        <w:t>。</w:t>
      </w:r>
    </w:p>
    <w:p w:rsidR="00B167EB" w:rsidRPr="002D6716" w:rsidRDefault="002D6716" w:rsidP="00276A4E">
      <w:pPr>
        <w:spacing w:line="560" w:lineRule="exact"/>
        <w:ind w:firstLineChars="200" w:firstLine="562"/>
        <w:rPr>
          <w:rFonts w:ascii="Times New Roman" w:eastAsia="方正仿宋简体" w:hAnsi="Times New Roman" w:cs="Times New Roman"/>
          <w:sz w:val="28"/>
          <w:szCs w:val="24"/>
        </w:rPr>
      </w:pPr>
      <w:r w:rsidRPr="002D6716">
        <w:rPr>
          <w:rFonts w:ascii="Times New Roman" w:eastAsia="方正仿宋简体" w:hAnsi="Times New Roman" w:cs="Times New Roman" w:hint="eastAsia"/>
          <w:b/>
          <w:sz w:val="28"/>
          <w:szCs w:val="24"/>
        </w:rPr>
        <w:t xml:space="preserve">2. </w:t>
      </w:r>
      <w:r w:rsidR="00B167EB" w:rsidRPr="002D6716">
        <w:rPr>
          <w:rFonts w:ascii="Times New Roman" w:eastAsia="方正仿宋简体" w:hAnsi="Times New Roman" w:cs="Times New Roman" w:hint="eastAsia"/>
          <w:b/>
          <w:sz w:val="28"/>
          <w:szCs w:val="24"/>
        </w:rPr>
        <w:t>合约选择：</w:t>
      </w:r>
      <w:r>
        <w:rPr>
          <w:rFonts w:ascii="Times New Roman" w:eastAsia="方正仿宋简体" w:hAnsi="Times New Roman" w:cs="Times New Roman" w:hint="eastAsia"/>
          <w:sz w:val="28"/>
          <w:szCs w:val="24"/>
        </w:rPr>
        <w:t>投资者</w:t>
      </w:r>
      <w:r w:rsidR="00B167EB" w:rsidRPr="00B167EB">
        <w:rPr>
          <w:rFonts w:ascii="Times New Roman" w:eastAsia="方正仿宋简体" w:hAnsi="Times New Roman" w:cs="Times New Roman" w:hint="eastAsia"/>
          <w:sz w:val="28"/>
          <w:szCs w:val="24"/>
        </w:rPr>
        <w:t>应尽量选择</w:t>
      </w:r>
      <w:proofErr w:type="gramStart"/>
      <w:r w:rsidR="00FE0746">
        <w:rPr>
          <w:rFonts w:ascii="Times New Roman" w:eastAsia="方正仿宋简体" w:hAnsi="Times New Roman" w:cs="Times New Roman" w:hint="eastAsia"/>
          <w:sz w:val="28"/>
          <w:szCs w:val="24"/>
        </w:rPr>
        <w:t>轻</w:t>
      </w:r>
      <w:r w:rsidR="00027DAF">
        <w:rPr>
          <w:rFonts w:ascii="Times New Roman" w:eastAsia="方正仿宋简体" w:hAnsi="Times New Roman" w:cs="Times New Roman" w:hint="eastAsia"/>
          <w:sz w:val="28"/>
          <w:szCs w:val="24"/>
        </w:rPr>
        <w:t>度</w:t>
      </w:r>
      <w:r w:rsidR="00B167EB" w:rsidRPr="00B167EB">
        <w:rPr>
          <w:rFonts w:ascii="Times New Roman" w:eastAsia="方正仿宋简体" w:hAnsi="Times New Roman" w:cs="Times New Roman" w:hint="eastAsia"/>
          <w:sz w:val="28"/>
          <w:szCs w:val="24"/>
        </w:rPr>
        <w:t>虚值认购</w:t>
      </w:r>
      <w:proofErr w:type="gramEnd"/>
      <w:r w:rsidR="00B167EB" w:rsidRPr="00B167EB">
        <w:rPr>
          <w:rFonts w:ascii="Times New Roman" w:eastAsia="方正仿宋简体" w:hAnsi="Times New Roman" w:cs="Times New Roman" w:hint="eastAsia"/>
          <w:sz w:val="28"/>
          <w:szCs w:val="24"/>
        </w:rPr>
        <w:t>期权进行备兑开仓。到期日</w:t>
      </w:r>
      <w:r w:rsidR="00B167EB" w:rsidRPr="002D6716">
        <w:rPr>
          <w:rFonts w:ascii="Times New Roman" w:eastAsia="方正仿宋简体" w:hAnsi="Times New Roman" w:cs="Times New Roman" w:hint="eastAsia"/>
          <w:sz w:val="28"/>
          <w:szCs w:val="24"/>
        </w:rPr>
        <w:t>要根据投资者对未来</w:t>
      </w:r>
      <w:r>
        <w:rPr>
          <w:rFonts w:ascii="Times New Roman" w:eastAsia="方正仿宋简体" w:hAnsi="Times New Roman" w:cs="Times New Roman" w:hint="eastAsia"/>
          <w:sz w:val="28"/>
          <w:szCs w:val="24"/>
        </w:rPr>
        <w:t>标的资产价格的预期</w:t>
      </w:r>
      <w:r w:rsidR="00B26CEF">
        <w:rPr>
          <w:rFonts w:ascii="Times New Roman" w:eastAsia="方正仿宋简体" w:hAnsi="Times New Roman" w:cs="Times New Roman" w:hint="eastAsia"/>
          <w:sz w:val="28"/>
          <w:szCs w:val="24"/>
        </w:rPr>
        <w:t>来确定，若预期短期价格涨幅十分有限，</w:t>
      </w:r>
      <w:r w:rsidR="00B167EB" w:rsidRPr="002D6716">
        <w:rPr>
          <w:rFonts w:ascii="Times New Roman" w:eastAsia="方正仿宋简体" w:hAnsi="Times New Roman" w:cs="Times New Roman" w:hint="eastAsia"/>
          <w:sz w:val="28"/>
          <w:szCs w:val="24"/>
        </w:rPr>
        <w:t>应选择到期月份较近的合约</w:t>
      </w:r>
      <w:r w:rsidR="00052505">
        <w:rPr>
          <w:rFonts w:ascii="Times New Roman" w:eastAsia="方正仿宋简体" w:hAnsi="Times New Roman" w:cs="Times New Roman" w:hint="eastAsia"/>
          <w:sz w:val="28"/>
          <w:szCs w:val="24"/>
        </w:rPr>
        <w:t>。</w:t>
      </w:r>
      <w:r w:rsidR="00B26CEF">
        <w:rPr>
          <w:rFonts w:ascii="Times New Roman" w:eastAsia="方正仿宋简体" w:hAnsi="Times New Roman" w:cs="Times New Roman" w:hint="eastAsia"/>
          <w:sz w:val="28"/>
          <w:szCs w:val="24"/>
        </w:rPr>
        <w:t>另外，</w:t>
      </w:r>
      <w:r w:rsidR="00052505">
        <w:rPr>
          <w:rFonts w:ascii="Times New Roman" w:eastAsia="方正仿宋简体" w:hAnsi="Times New Roman" w:cs="Times New Roman" w:hint="eastAsia"/>
          <w:sz w:val="28"/>
          <w:szCs w:val="24"/>
        </w:rPr>
        <w:t>选择合约时还应</w:t>
      </w:r>
      <w:r w:rsidR="00B167EB" w:rsidRPr="002D6716">
        <w:rPr>
          <w:rFonts w:ascii="Times New Roman" w:eastAsia="方正仿宋简体" w:hAnsi="Times New Roman" w:cs="Times New Roman" w:hint="eastAsia"/>
          <w:sz w:val="28"/>
          <w:szCs w:val="24"/>
        </w:rPr>
        <w:t>考虑合约的流动性</w:t>
      </w:r>
      <w:r w:rsidR="009B6C29">
        <w:rPr>
          <w:rFonts w:ascii="Times New Roman" w:eastAsia="方正仿宋简体" w:hAnsi="Times New Roman" w:cs="Times New Roman" w:hint="eastAsia"/>
          <w:sz w:val="28"/>
          <w:szCs w:val="24"/>
        </w:rPr>
        <w:t>，</w:t>
      </w:r>
      <w:r w:rsidR="00367EC6">
        <w:rPr>
          <w:rFonts w:ascii="Times New Roman" w:eastAsia="方正仿宋简体" w:hAnsi="Times New Roman" w:cs="Times New Roman" w:hint="eastAsia"/>
          <w:sz w:val="28"/>
          <w:szCs w:val="24"/>
        </w:rPr>
        <w:t>尽量选择交易活跃的合约</w:t>
      </w:r>
      <w:r w:rsidR="00B167EB" w:rsidRPr="002D6716">
        <w:rPr>
          <w:rFonts w:ascii="Times New Roman" w:eastAsia="方正仿宋简体" w:hAnsi="Times New Roman" w:cs="Times New Roman" w:hint="eastAsia"/>
          <w:sz w:val="28"/>
          <w:szCs w:val="24"/>
        </w:rPr>
        <w:t>。</w:t>
      </w:r>
    </w:p>
    <w:p w:rsidR="00B167EB" w:rsidRPr="00B167EB" w:rsidRDefault="002D6716" w:rsidP="009451E9">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3. </w:t>
      </w:r>
      <w:r w:rsidR="00B167EB" w:rsidRPr="002D6716">
        <w:rPr>
          <w:rFonts w:ascii="Times New Roman" w:eastAsia="方正仿宋简体" w:hAnsi="Times New Roman" w:cs="Times New Roman" w:hint="eastAsia"/>
          <w:b/>
          <w:sz w:val="28"/>
          <w:szCs w:val="24"/>
        </w:rPr>
        <w:t>提前平仓：</w:t>
      </w:r>
      <w:r>
        <w:rPr>
          <w:rFonts w:ascii="Times New Roman" w:eastAsia="方正仿宋简体" w:hAnsi="Times New Roman" w:cs="Times New Roman" w:hint="eastAsia"/>
          <w:sz w:val="28"/>
          <w:szCs w:val="24"/>
        </w:rPr>
        <w:t>当标的资产</w:t>
      </w:r>
      <w:r w:rsidR="00B167EB" w:rsidRPr="00B167EB">
        <w:rPr>
          <w:rFonts w:ascii="Times New Roman" w:eastAsia="方正仿宋简体" w:hAnsi="Times New Roman" w:cs="Times New Roman" w:hint="eastAsia"/>
          <w:sz w:val="28"/>
          <w:szCs w:val="24"/>
        </w:rPr>
        <w:t>超预期大幅上涨时，投资者应当理性对待，可选择提前平仓</w:t>
      </w:r>
      <w:r>
        <w:rPr>
          <w:rFonts w:ascii="Times New Roman" w:eastAsia="方正仿宋简体" w:hAnsi="Times New Roman" w:cs="Times New Roman" w:hint="eastAsia"/>
          <w:sz w:val="28"/>
          <w:szCs w:val="24"/>
        </w:rPr>
        <w:t>。</w:t>
      </w:r>
      <w:r w:rsidR="00B167EB" w:rsidRPr="00B167EB">
        <w:rPr>
          <w:rFonts w:ascii="Times New Roman" w:eastAsia="方正仿宋简体" w:hAnsi="Times New Roman" w:cs="Times New Roman" w:hint="eastAsia"/>
          <w:sz w:val="28"/>
          <w:szCs w:val="24"/>
        </w:rPr>
        <w:t>若</w:t>
      </w:r>
      <w:r w:rsidR="00E24210">
        <w:rPr>
          <w:rFonts w:ascii="Times New Roman" w:eastAsia="方正仿宋简体" w:hAnsi="Times New Roman" w:cs="Times New Roman" w:hint="eastAsia"/>
          <w:sz w:val="28"/>
          <w:szCs w:val="24"/>
        </w:rPr>
        <w:t>投资者未提前平仓，</w:t>
      </w:r>
      <w:r w:rsidR="00CD5F6F">
        <w:rPr>
          <w:rFonts w:ascii="Times New Roman" w:eastAsia="方正仿宋简体" w:hAnsi="Times New Roman" w:cs="Times New Roman" w:hint="eastAsia"/>
          <w:sz w:val="28"/>
          <w:szCs w:val="24"/>
        </w:rPr>
        <w:t>则</w:t>
      </w:r>
      <w:r w:rsidR="00E24210">
        <w:rPr>
          <w:rFonts w:ascii="Times New Roman" w:eastAsia="方正仿宋简体" w:hAnsi="Times New Roman" w:cs="Times New Roman" w:hint="eastAsia"/>
          <w:sz w:val="28"/>
          <w:szCs w:val="24"/>
        </w:rPr>
        <w:t>可能要</w:t>
      </w:r>
      <w:r w:rsidR="00CD5F6F">
        <w:rPr>
          <w:rFonts w:ascii="Times New Roman" w:eastAsia="方正仿宋简体" w:hAnsi="Times New Roman" w:cs="Times New Roman" w:hint="eastAsia"/>
          <w:sz w:val="28"/>
          <w:szCs w:val="24"/>
        </w:rPr>
        <w:t>在期权合约到期时</w:t>
      </w:r>
      <w:r w:rsidR="00E24210">
        <w:rPr>
          <w:rFonts w:ascii="Times New Roman" w:eastAsia="方正仿宋简体" w:hAnsi="Times New Roman" w:cs="Times New Roman" w:hint="eastAsia"/>
          <w:sz w:val="28"/>
          <w:szCs w:val="24"/>
        </w:rPr>
        <w:t>履行行权</w:t>
      </w:r>
      <w:r w:rsidR="00D47BEB">
        <w:rPr>
          <w:rFonts w:ascii="Times New Roman" w:eastAsia="方正仿宋简体" w:hAnsi="Times New Roman" w:cs="Times New Roman" w:hint="eastAsia"/>
          <w:sz w:val="28"/>
          <w:szCs w:val="24"/>
        </w:rPr>
        <w:t>义务</w:t>
      </w:r>
      <w:r w:rsidR="00E24210">
        <w:rPr>
          <w:rFonts w:ascii="Times New Roman" w:eastAsia="方正仿宋简体" w:hAnsi="Times New Roman" w:cs="Times New Roman" w:hint="eastAsia"/>
          <w:sz w:val="28"/>
          <w:szCs w:val="24"/>
        </w:rPr>
        <w:t>，即</w:t>
      </w:r>
      <w:r w:rsidR="00B167EB" w:rsidRPr="00B167EB">
        <w:rPr>
          <w:rFonts w:ascii="Times New Roman" w:eastAsia="方正仿宋简体" w:hAnsi="Times New Roman" w:cs="Times New Roman" w:hint="eastAsia"/>
          <w:sz w:val="28"/>
          <w:szCs w:val="24"/>
        </w:rPr>
        <w:t>必须按行权价卖出标的</w:t>
      </w:r>
      <w:r>
        <w:rPr>
          <w:rFonts w:ascii="Times New Roman" w:eastAsia="方正仿宋简体" w:hAnsi="Times New Roman" w:cs="Times New Roman" w:hint="eastAsia"/>
          <w:sz w:val="28"/>
          <w:szCs w:val="24"/>
        </w:rPr>
        <w:t>资产</w:t>
      </w:r>
      <w:r w:rsidR="00B167EB" w:rsidRPr="00B167EB">
        <w:rPr>
          <w:rFonts w:ascii="Times New Roman" w:eastAsia="方正仿宋简体" w:hAnsi="Times New Roman" w:cs="Times New Roman" w:hint="eastAsia"/>
          <w:sz w:val="28"/>
          <w:szCs w:val="24"/>
        </w:rPr>
        <w:t>。</w:t>
      </w:r>
    </w:p>
    <w:p w:rsidR="00B167EB" w:rsidRPr="00B167EB" w:rsidRDefault="002D6716" w:rsidP="009451E9">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4. </w:t>
      </w:r>
      <w:r w:rsidR="00B167EB" w:rsidRPr="002D6716">
        <w:rPr>
          <w:rFonts w:ascii="Times New Roman" w:eastAsia="方正仿宋简体" w:hAnsi="Times New Roman" w:cs="Times New Roman" w:hint="eastAsia"/>
          <w:b/>
          <w:sz w:val="28"/>
          <w:szCs w:val="24"/>
        </w:rPr>
        <w:t>策略效果：</w:t>
      </w:r>
      <w:r w:rsidRPr="007B0573">
        <w:rPr>
          <w:rFonts w:ascii="Times New Roman" w:eastAsia="方正仿宋简体" w:hAnsi="Times New Roman" w:cs="Times New Roman" w:hint="eastAsia"/>
          <w:sz w:val="28"/>
          <w:szCs w:val="24"/>
        </w:rPr>
        <w:t>当市场出现</w:t>
      </w:r>
      <w:r w:rsidR="005E2BC4">
        <w:rPr>
          <w:rFonts w:ascii="Times New Roman" w:eastAsia="方正仿宋简体" w:hAnsi="Times New Roman" w:cs="Times New Roman" w:hint="eastAsia"/>
          <w:sz w:val="28"/>
          <w:szCs w:val="24"/>
        </w:rPr>
        <w:t>不利的</w:t>
      </w:r>
      <w:r w:rsidR="00FD4A8B">
        <w:rPr>
          <w:rFonts w:ascii="Times New Roman" w:eastAsia="方正仿宋简体" w:hAnsi="Times New Roman" w:cs="Times New Roman" w:hint="eastAsia"/>
          <w:sz w:val="28"/>
          <w:szCs w:val="24"/>
        </w:rPr>
        <w:t>趋势性</w:t>
      </w:r>
      <w:r w:rsidRPr="007B0573">
        <w:rPr>
          <w:rFonts w:ascii="Times New Roman" w:eastAsia="方正仿宋简体" w:hAnsi="Times New Roman" w:cs="Times New Roman" w:hint="eastAsia"/>
          <w:sz w:val="28"/>
          <w:szCs w:val="24"/>
        </w:rPr>
        <w:t>单边行情</w:t>
      </w:r>
      <w:r>
        <w:rPr>
          <w:rFonts w:ascii="Times New Roman" w:eastAsia="方正仿宋简体" w:hAnsi="Times New Roman" w:cs="Times New Roman" w:hint="eastAsia"/>
          <w:sz w:val="28"/>
          <w:szCs w:val="24"/>
        </w:rPr>
        <w:t>时</w:t>
      </w:r>
      <w:r w:rsidRPr="007B0573">
        <w:rPr>
          <w:rFonts w:ascii="Times New Roman" w:eastAsia="方正仿宋简体" w:hAnsi="Times New Roman" w:cs="Times New Roman" w:hint="eastAsia"/>
          <w:sz w:val="28"/>
          <w:szCs w:val="24"/>
        </w:rPr>
        <w:t>，备兑策略无效。</w:t>
      </w:r>
      <w:r>
        <w:rPr>
          <w:rFonts w:ascii="Times New Roman" w:eastAsia="方正仿宋简体" w:hAnsi="Times New Roman" w:cs="Times New Roman" w:hint="eastAsia"/>
          <w:sz w:val="28"/>
          <w:szCs w:val="24"/>
        </w:rPr>
        <w:t>市场</w:t>
      </w:r>
      <w:r w:rsidRPr="007B0573">
        <w:rPr>
          <w:rFonts w:ascii="Times New Roman" w:eastAsia="方正仿宋简体" w:hAnsi="Times New Roman" w:cs="Times New Roman" w:hint="eastAsia"/>
          <w:sz w:val="28"/>
          <w:szCs w:val="24"/>
        </w:rPr>
        <w:t>单边上涨</w:t>
      </w:r>
      <w:r>
        <w:rPr>
          <w:rFonts w:ascii="Times New Roman" w:eastAsia="方正仿宋简体" w:hAnsi="Times New Roman" w:cs="Times New Roman" w:hint="eastAsia"/>
          <w:sz w:val="28"/>
          <w:szCs w:val="24"/>
        </w:rPr>
        <w:t>时，投资者通过备兑策略卖出期权，虽然锁定了标的资产的卖出价格，但也损失了潜在的上涨收益。市场单边下跌时</w:t>
      </w:r>
      <w:r w:rsidRPr="007B0573">
        <w:rPr>
          <w:rFonts w:ascii="Times New Roman" w:eastAsia="方正仿宋简体" w:hAnsi="Times New Roman" w:cs="Times New Roman" w:hint="eastAsia"/>
          <w:sz w:val="28"/>
          <w:szCs w:val="24"/>
        </w:rPr>
        <w:t>，标的</w:t>
      </w:r>
      <w:r>
        <w:rPr>
          <w:rFonts w:ascii="Times New Roman" w:eastAsia="方正仿宋简体" w:hAnsi="Times New Roman" w:cs="Times New Roman" w:hint="eastAsia"/>
          <w:sz w:val="28"/>
          <w:szCs w:val="24"/>
        </w:rPr>
        <w:t>资产的</w:t>
      </w:r>
      <w:r w:rsidRPr="007B0573">
        <w:rPr>
          <w:rFonts w:ascii="Times New Roman" w:eastAsia="方正仿宋简体" w:hAnsi="Times New Roman" w:cs="Times New Roman" w:hint="eastAsia"/>
          <w:sz w:val="28"/>
          <w:szCs w:val="24"/>
        </w:rPr>
        <w:t>亏损</w:t>
      </w:r>
      <w:r w:rsidR="005E2BC4">
        <w:rPr>
          <w:rFonts w:ascii="Times New Roman" w:eastAsia="方正仿宋简体" w:hAnsi="Times New Roman" w:cs="Times New Roman" w:hint="eastAsia"/>
          <w:sz w:val="28"/>
          <w:szCs w:val="24"/>
        </w:rPr>
        <w:t>可能</w:t>
      </w:r>
      <w:r w:rsidRPr="007B0573">
        <w:rPr>
          <w:rFonts w:ascii="Times New Roman" w:eastAsia="方正仿宋简体" w:hAnsi="Times New Roman" w:cs="Times New Roman" w:hint="eastAsia"/>
          <w:sz w:val="28"/>
          <w:szCs w:val="24"/>
        </w:rPr>
        <w:t>远大于卖出期权所收取</w:t>
      </w:r>
      <w:r>
        <w:rPr>
          <w:rFonts w:ascii="Times New Roman" w:eastAsia="方正仿宋简体" w:hAnsi="Times New Roman" w:cs="Times New Roman" w:hint="eastAsia"/>
          <w:sz w:val="28"/>
          <w:szCs w:val="24"/>
        </w:rPr>
        <w:t>的权利</w:t>
      </w:r>
      <w:r w:rsidRPr="007B0573">
        <w:rPr>
          <w:rFonts w:ascii="Times New Roman" w:eastAsia="方正仿宋简体" w:hAnsi="Times New Roman" w:cs="Times New Roman" w:hint="eastAsia"/>
          <w:sz w:val="28"/>
          <w:szCs w:val="24"/>
        </w:rPr>
        <w:t>金。</w:t>
      </w:r>
    </w:p>
    <w:p w:rsidR="00B167EB" w:rsidRPr="009F3445" w:rsidRDefault="00B167EB" w:rsidP="009F3445">
      <w:pPr>
        <w:spacing w:line="560" w:lineRule="exact"/>
        <w:ind w:firstLineChars="200" w:firstLine="560"/>
        <w:rPr>
          <w:rFonts w:ascii="楷体" w:eastAsia="楷体" w:hAnsi="楷体" w:cs="Times New Roman"/>
          <w:bCs/>
          <w:sz w:val="28"/>
          <w:szCs w:val="24"/>
        </w:rPr>
      </w:pPr>
      <w:bookmarkStart w:id="1" w:name="_Toc498586572"/>
      <w:r w:rsidRPr="009F3445">
        <w:rPr>
          <w:rFonts w:ascii="楷体" w:eastAsia="楷体" w:hAnsi="楷体" w:cs="Times New Roman" w:hint="eastAsia"/>
          <w:bCs/>
          <w:sz w:val="28"/>
          <w:szCs w:val="24"/>
        </w:rPr>
        <w:t>（二）使用</w:t>
      </w:r>
      <w:r w:rsidR="00644537" w:rsidRPr="009F3445">
        <w:rPr>
          <w:rFonts w:ascii="楷体" w:eastAsia="楷体" w:hAnsi="楷体" w:cs="Times New Roman" w:hint="eastAsia"/>
          <w:bCs/>
          <w:sz w:val="28"/>
          <w:szCs w:val="24"/>
        </w:rPr>
        <w:t>保险策</w:t>
      </w:r>
      <w:r w:rsidRPr="009F3445">
        <w:rPr>
          <w:rFonts w:ascii="楷体" w:eastAsia="楷体" w:hAnsi="楷体" w:cs="Times New Roman" w:hint="eastAsia"/>
          <w:bCs/>
          <w:sz w:val="28"/>
          <w:szCs w:val="24"/>
        </w:rPr>
        <w:t>略</w:t>
      </w:r>
      <w:bookmarkEnd w:id="1"/>
      <w:r w:rsidRPr="009F3445">
        <w:rPr>
          <w:rFonts w:ascii="楷体" w:eastAsia="楷体" w:hAnsi="楷体" w:cs="Times New Roman" w:hint="eastAsia"/>
          <w:bCs/>
          <w:sz w:val="28"/>
          <w:szCs w:val="24"/>
        </w:rPr>
        <w:t>的注意事项</w:t>
      </w:r>
    </w:p>
    <w:p w:rsidR="00B167EB" w:rsidRPr="00B167EB" w:rsidRDefault="00295218" w:rsidP="00276A4E">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1. </w:t>
      </w:r>
      <w:r w:rsidR="00B167EB" w:rsidRPr="00295218">
        <w:rPr>
          <w:rFonts w:ascii="Times New Roman" w:eastAsia="方正仿宋简体" w:hAnsi="Times New Roman" w:cs="Times New Roman" w:hint="eastAsia"/>
          <w:b/>
          <w:sz w:val="28"/>
          <w:szCs w:val="24"/>
        </w:rPr>
        <w:t>提前平仓：</w:t>
      </w:r>
      <w:r w:rsidR="00B167EB" w:rsidRPr="00B167EB">
        <w:rPr>
          <w:rFonts w:ascii="Times New Roman" w:eastAsia="方正仿宋简体" w:hAnsi="Times New Roman" w:cs="Times New Roman" w:hint="eastAsia"/>
          <w:sz w:val="28"/>
          <w:szCs w:val="24"/>
        </w:rPr>
        <w:t>保险策略不一定要到合约到期才能发挥保险功能。在</w:t>
      </w:r>
      <w:r w:rsidR="00492D11">
        <w:rPr>
          <w:rFonts w:ascii="Times New Roman" w:eastAsia="方正仿宋简体" w:hAnsi="Times New Roman" w:cs="Times New Roman" w:hint="eastAsia"/>
          <w:sz w:val="28"/>
          <w:szCs w:val="24"/>
        </w:rPr>
        <w:t>到期前的</w:t>
      </w:r>
      <w:r w:rsidR="00B167EB" w:rsidRPr="00B167EB">
        <w:rPr>
          <w:rFonts w:ascii="Times New Roman" w:eastAsia="方正仿宋简体" w:hAnsi="Times New Roman" w:cs="Times New Roman" w:hint="eastAsia"/>
          <w:sz w:val="28"/>
          <w:szCs w:val="24"/>
        </w:rPr>
        <w:t>交易时间内，投资者随时可以对持有的认沽期权平仓。权利金可以反映标的</w:t>
      </w:r>
      <w:r>
        <w:rPr>
          <w:rFonts w:ascii="Times New Roman" w:eastAsia="方正仿宋简体" w:hAnsi="Times New Roman" w:cs="Times New Roman" w:hint="eastAsia"/>
          <w:sz w:val="28"/>
          <w:szCs w:val="24"/>
        </w:rPr>
        <w:t>资产</w:t>
      </w:r>
      <w:r w:rsidR="00B167EB" w:rsidRPr="00B167EB">
        <w:rPr>
          <w:rFonts w:ascii="Times New Roman" w:eastAsia="方正仿宋简体" w:hAnsi="Times New Roman" w:cs="Times New Roman" w:hint="eastAsia"/>
          <w:sz w:val="28"/>
          <w:szCs w:val="24"/>
        </w:rPr>
        <w:t>价格变化，所以提前平仓同样可以起到弥补</w:t>
      </w:r>
      <w:r w:rsidR="00A92C07">
        <w:rPr>
          <w:rFonts w:ascii="Times New Roman" w:eastAsia="方正仿宋简体" w:hAnsi="Times New Roman" w:cs="Times New Roman" w:hint="eastAsia"/>
          <w:sz w:val="28"/>
          <w:szCs w:val="24"/>
        </w:rPr>
        <w:t>标的资产</w:t>
      </w:r>
      <w:r w:rsidR="00B167EB" w:rsidRPr="00B167EB">
        <w:rPr>
          <w:rFonts w:ascii="Times New Roman" w:eastAsia="方正仿宋简体" w:hAnsi="Times New Roman" w:cs="Times New Roman" w:hint="eastAsia"/>
          <w:sz w:val="28"/>
          <w:szCs w:val="24"/>
        </w:rPr>
        <w:t>损失的作用。</w:t>
      </w:r>
    </w:p>
    <w:p w:rsidR="00B167EB" w:rsidRPr="00B167EB" w:rsidRDefault="00295218" w:rsidP="00276A4E">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2. </w:t>
      </w:r>
      <w:r w:rsidR="00B167EB" w:rsidRPr="00295218">
        <w:rPr>
          <w:rFonts w:ascii="Times New Roman" w:eastAsia="方正仿宋简体" w:hAnsi="Times New Roman" w:cs="Times New Roman" w:hint="eastAsia"/>
          <w:b/>
          <w:sz w:val="28"/>
          <w:szCs w:val="24"/>
        </w:rPr>
        <w:t>到期作废：</w:t>
      </w:r>
      <w:r w:rsidR="00B167EB" w:rsidRPr="00B167EB">
        <w:rPr>
          <w:rFonts w:ascii="Times New Roman" w:eastAsia="方正仿宋简体" w:hAnsi="Times New Roman" w:cs="Times New Roman" w:hint="eastAsia"/>
          <w:sz w:val="28"/>
          <w:szCs w:val="24"/>
        </w:rPr>
        <w:t>投资者在合约到期时如不主动行权，其持有的期权</w:t>
      </w:r>
      <w:r>
        <w:rPr>
          <w:rFonts w:ascii="Times New Roman" w:eastAsia="方正仿宋简体" w:hAnsi="Times New Roman" w:cs="Times New Roman" w:hint="eastAsia"/>
          <w:sz w:val="28"/>
          <w:szCs w:val="24"/>
        </w:rPr>
        <w:t>合约</w:t>
      </w:r>
      <w:r w:rsidR="00B167EB" w:rsidRPr="00B167EB">
        <w:rPr>
          <w:rFonts w:ascii="Times New Roman" w:eastAsia="方正仿宋简体" w:hAnsi="Times New Roman" w:cs="Times New Roman" w:hint="eastAsia"/>
          <w:sz w:val="28"/>
          <w:szCs w:val="24"/>
        </w:rPr>
        <w:t>将作废</w:t>
      </w:r>
      <w:r>
        <w:rPr>
          <w:rFonts w:ascii="Times New Roman" w:eastAsia="方正仿宋简体" w:hAnsi="Times New Roman" w:cs="Times New Roman" w:hint="eastAsia"/>
          <w:sz w:val="28"/>
          <w:szCs w:val="24"/>
        </w:rPr>
        <w:t>。投资者</w:t>
      </w:r>
      <w:r w:rsidR="00B167EB" w:rsidRPr="00B167EB">
        <w:rPr>
          <w:rFonts w:ascii="Times New Roman" w:eastAsia="方正仿宋简体" w:hAnsi="Times New Roman" w:cs="Times New Roman" w:hint="eastAsia"/>
          <w:sz w:val="28"/>
          <w:szCs w:val="24"/>
        </w:rPr>
        <w:t>应关注行权日信息，视情况及时行权。</w:t>
      </w:r>
    </w:p>
    <w:p w:rsidR="00B167EB" w:rsidRPr="00B167EB" w:rsidRDefault="00295218" w:rsidP="00276A4E">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3. </w:t>
      </w:r>
      <w:r w:rsidR="00B167EB" w:rsidRPr="00295218">
        <w:rPr>
          <w:rFonts w:ascii="Times New Roman" w:eastAsia="方正仿宋简体" w:hAnsi="Times New Roman" w:cs="Times New Roman" w:hint="eastAsia"/>
          <w:b/>
          <w:sz w:val="28"/>
          <w:szCs w:val="24"/>
        </w:rPr>
        <w:t>合约选择：</w:t>
      </w:r>
      <w:r w:rsidR="00B167EB" w:rsidRPr="00B167EB">
        <w:rPr>
          <w:rFonts w:ascii="Times New Roman" w:eastAsia="方正仿宋简体" w:hAnsi="Times New Roman" w:cs="Times New Roman" w:hint="eastAsia"/>
          <w:sz w:val="28"/>
          <w:szCs w:val="24"/>
        </w:rPr>
        <w:t>投资者应根据自身风险承受能力以及实际情况合理选择认沽期权合约，重点关注权利金、行权价和到期日。</w:t>
      </w:r>
    </w:p>
    <w:p w:rsidR="00B167EB" w:rsidRPr="00B167EB" w:rsidRDefault="00295218" w:rsidP="009451E9">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4. </w:t>
      </w:r>
      <w:r w:rsidR="00B167EB" w:rsidRPr="00295218">
        <w:rPr>
          <w:rFonts w:ascii="Times New Roman" w:eastAsia="方正仿宋简体" w:hAnsi="Times New Roman" w:cs="Times New Roman" w:hint="eastAsia"/>
          <w:b/>
          <w:sz w:val="28"/>
          <w:szCs w:val="24"/>
        </w:rPr>
        <w:t>权利金：</w:t>
      </w:r>
      <w:r w:rsidR="00B167EB" w:rsidRPr="00B167EB">
        <w:rPr>
          <w:rFonts w:ascii="Times New Roman" w:eastAsia="方正仿宋简体" w:hAnsi="Times New Roman" w:cs="Times New Roman" w:hint="eastAsia"/>
          <w:sz w:val="28"/>
          <w:szCs w:val="24"/>
        </w:rPr>
        <w:t>尽量避免买入</w:t>
      </w:r>
      <w:r w:rsidR="004C2387">
        <w:rPr>
          <w:rFonts w:ascii="Times New Roman" w:eastAsia="方正仿宋简体" w:hAnsi="Times New Roman" w:cs="Times New Roman" w:hint="eastAsia"/>
          <w:sz w:val="28"/>
          <w:szCs w:val="24"/>
        </w:rPr>
        <w:t>价格</w:t>
      </w:r>
      <w:r w:rsidR="00B167EB" w:rsidRPr="00B167EB">
        <w:rPr>
          <w:rFonts w:ascii="Times New Roman" w:eastAsia="方正仿宋简体" w:hAnsi="Times New Roman" w:cs="Times New Roman" w:hint="eastAsia"/>
          <w:sz w:val="28"/>
          <w:szCs w:val="24"/>
        </w:rPr>
        <w:t>相对“高估”的</w:t>
      </w:r>
      <w:r w:rsidR="00D73402">
        <w:rPr>
          <w:rFonts w:ascii="Times New Roman" w:eastAsia="方正仿宋简体" w:hAnsi="Times New Roman" w:cs="Times New Roman" w:hint="eastAsia"/>
          <w:sz w:val="28"/>
          <w:szCs w:val="24"/>
        </w:rPr>
        <w:t>期权</w:t>
      </w:r>
      <w:r w:rsidR="00B167EB" w:rsidRPr="00B167EB">
        <w:rPr>
          <w:rFonts w:ascii="Times New Roman" w:eastAsia="方正仿宋简体" w:hAnsi="Times New Roman" w:cs="Times New Roman" w:hint="eastAsia"/>
          <w:sz w:val="28"/>
          <w:szCs w:val="24"/>
        </w:rPr>
        <w:t>合约构建保险策略。</w:t>
      </w:r>
    </w:p>
    <w:p w:rsidR="00B167EB" w:rsidRPr="00B167EB" w:rsidRDefault="00295218" w:rsidP="009451E9">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5. </w:t>
      </w:r>
      <w:r w:rsidR="00B167EB" w:rsidRPr="00295218">
        <w:rPr>
          <w:rFonts w:ascii="Times New Roman" w:eastAsia="方正仿宋简体" w:hAnsi="Times New Roman" w:cs="Times New Roman" w:hint="eastAsia"/>
          <w:b/>
          <w:sz w:val="28"/>
          <w:szCs w:val="24"/>
        </w:rPr>
        <w:t>行权价：</w:t>
      </w:r>
      <w:r w:rsidR="00B167EB" w:rsidRPr="00B167EB">
        <w:rPr>
          <w:rFonts w:ascii="Times New Roman" w:eastAsia="方正仿宋简体" w:hAnsi="Times New Roman" w:cs="Times New Roman" w:hint="eastAsia"/>
          <w:sz w:val="28"/>
          <w:szCs w:val="24"/>
        </w:rPr>
        <w:t>一般可选择轻度虚值、平值或轻度实值的合约</w:t>
      </w:r>
      <w:r>
        <w:rPr>
          <w:rFonts w:ascii="Times New Roman" w:eastAsia="方正仿宋简体" w:hAnsi="Times New Roman" w:cs="Times New Roman" w:hint="eastAsia"/>
          <w:sz w:val="28"/>
          <w:szCs w:val="24"/>
        </w:rPr>
        <w:t>，</w:t>
      </w:r>
      <w:r w:rsidRPr="004F1B33">
        <w:rPr>
          <w:rFonts w:ascii="Times New Roman" w:eastAsia="方正仿宋简体" w:hAnsi="Times New Roman" w:cs="Times New Roman"/>
          <w:sz w:val="28"/>
          <w:szCs w:val="24"/>
        </w:rPr>
        <w:t>在规避</w:t>
      </w:r>
      <w:r w:rsidR="00492D11">
        <w:rPr>
          <w:rFonts w:ascii="Times New Roman" w:eastAsia="方正仿宋简体" w:hAnsi="Times New Roman" w:cs="Times New Roman"/>
          <w:sz w:val="28"/>
          <w:szCs w:val="24"/>
        </w:rPr>
        <w:t>标的</w:t>
      </w:r>
      <w:r w:rsidRPr="004F1B33">
        <w:rPr>
          <w:rFonts w:ascii="Times New Roman" w:eastAsia="方正仿宋简体" w:hAnsi="Times New Roman" w:cs="Times New Roman"/>
          <w:sz w:val="28"/>
          <w:szCs w:val="24"/>
        </w:rPr>
        <w:t>下行风险和保留</w:t>
      </w:r>
      <w:r w:rsidR="00492D11">
        <w:rPr>
          <w:rFonts w:ascii="Times New Roman" w:eastAsia="方正仿宋简体" w:hAnsi="Times New Roman" w:cs="Times New Roman"/>
          <w:sz w:val="28"/>
          <w:szCs w:val="24"/>
        </w:rPr>
        <w:t>标的</w:t>
      </w:r>
      <w:r w:rsidRPr="004F1B33">
        <w:rPr>
          <w:rFonts w:ascii="Times New Roman" w:eastAsia="方正仿宋简体" w:hAnsi="Times New Roman" w:cs="Times New Roman"/>
          <w:sz w:val="28"/>
          <w:szCs w:val="24"/>
        </w:rPr>
        <w:t>上行收益之间达到一种平衡。</w:t>
      </w:r>
    </w:p>
    <w:p w:rsidR="00B167EB" w:rsidRDefault="00295218" w:rsidP="00EC142A">
      <w:pPr>
        <w:spacing w:line="560" w:lineRule="exact"/>
        <w:ind w:firstLineChars="200" w:firstLine="562"/>
        <w:rPr>
          <w:rFonts w:ascii="Times New Roman" w:eastAsia="方正仿宋简体" w:hAnsi="Times New Roman" w:cs="Times New Roman"/>
          <w:sz w:val="28"/>
          <w:szCs w:val="24"/>
        </w:rPr>
      </w:pPr>
      <w:r>
        <w:rPr>
          <w:rFonts w:ascii="Times New Roman" w:eastAsia="方正仿宋简体" w:hAnsi="Times New Roman" w:cs="Times New Roman" w:hint="eastAsia"/>
          <w:b/>
          <w:sz w:val="28"/>
          <w:szCs w:val="24"/>
        </w:rPr>
        <w:t xml:space="preserve">6. </w:t>
      </w:r>
      <w:r w:rsidR="00B167EB" w:rsidRPr="00295218">
        <w:rPr>
          <w:rFonts w:ascii="Times New Roman" w:eastAsia="方正仿宋简体" w:hAnsi="Times New Roman" w:cs="Times New Roman" w:hint="eastAsia"/>
          <w:b/>
          <w:sz w:val="28"/>
          <w:szCs w:val="24"/>
        </w:rPr>
        <w:t>到期日：</w:t>
      </w:r>
      <w:r w:rsidRPr="00295218">
        <w:rPr>
          <w:rFonts w:ascii="Times New Roman" w:eastAsia="方正仿宋简体" w:hAnsi="Times New Roman" w:cs="Times New Roman" w:hint="eastAsia"/>
          <w:sz w:val="28"/>
          <w:szCs w:val="24"/>
        </w:rPr>
        <w:t>期权合约</w:t>
      </w:r>
      <w:r w:rsidR="00B167EB" w:rsidRPr="00295218">
        <w:rPr>
          <w:rFonts w:ascii="Times New Roman" w:eastAsia="方正仿宋简体" w:hAnsi="Times New Roman" w:cs="Times New Roman" w:hint="eastAsia"/>
          <w:sz w:val="28"/>
          <w:szCs w:val="24"/>
        </w:rPr>
        <w:t>到</w:t>
      </w:r>
      <w:r w:rsidR="00052505">
        <w:rPr>
          <w:rFonts w:ascii="Times New Roman" w:eastAsia="方正仿宋简体" w:hAnsi="Times New Roman" w:cs="Times New Roman" w:hint="eastAsia"/>
          <w:sz w:val="28"/>
          <w:szCs w:val="24"/>
        </w:rPr>
        <w:t>期日的选择应与计划持有标的资产的</w:t>
      </w:r>
      <w:r w:rsidR="00B167EB" w:rsidRPr="00B167EB">
        <w:rPr>
          <w:rFonts w:ascii="Times New Roman" w:eastAsia="方正仿宋简体" w:hAnsi="Times New Roman" w:cs="Times New Roman" w:hint="eastAsia"/>
          <w:sz w:val="28"/>
          <w:szCs w:val="24"/>
        </w:rPr>
        <w:t>时间相匹配。若无明确</w:t>
      </w:r>
      <w:r w:rsidR="00A92C07">
        <w:rPr>
          <w:rFonts w:ascii="Times New Roman" w:eastAsia="方正仿宋简体" w:hAnsi="Times New Roman" w:cs="Times New Roman" w:hint="eastAsia"/>
          <w:sz w:val="28"/>
          <w:szCs w:val="24"/>
        </w:rPr>
        <w:t>的标的资产持有</w:t>
      </w:r>
      <w:r w:rsidR="00B167EB" w:rsidRPr="00B167EB">
        <w:rPr>
          <w:rFonts w:ascii="Times New Roman" w:eastAsia="方正仿宋简体" w:hAnsi="Times New Roman" w:cs="Times New Roman" w:hint="eastAsia"/>
          <w:sz w:val="28"/>
          <w:szCs w:val="24"/>
        </w:rPr>
        <w:t>时间</w:t>
      </w:r>
      <w:r>
        <w:rPr>
          <w:rFonts w:ascii="Times New Roman" w:eastAsia="方正仿宋简体" w:hAnsi="Times New Roman" w:cs="Times New Roman" w:hint="eastAsia"/>
          <w:sz w:val="28"/>
          <w:szCs w:val="24"/>
        </w:rPr>
        <w:t>，投资者</w:t>
      </w:r>
      <w:r w:rsidR="00B167EB" w:rsidRPr="00B167EB">
        <w:rPr>
          <w:rFonts w:ascii="Times New Roman" w:eastAsia="方正仿宋简体" w:hAnsi="Times New Roman" w:cs="Times New Roman" w:hint="eastAsia"/>
          <w:sz w:val="28"/>
          <w:szCs w:val="24"/>
        </w:rPr>
        <w:t>可选择</w:t>
      </w:r>
      <w:proofErr w:type="gramStart"/>
      <w:r w:rsidR="00B167EB" w:rsidRPr="00B167EB">
        <w:rPr>
          <w:rFonts w:ascii="Times New Roman" w:eastAsia="方正仿宋简体" w:hAnsi="Times New Roman" w:cs="Times New Roman" w:hint="eastAsia"/>
          <w:sz w:val="28"/>
          <w:szCs w:val="24"/>
        </w:rPr>
        <w:t>买入短期</w:t>
      </w:r>
      <w:proofErr w:type="gramEnd"/>
      <w:r w:rsidR="00B167EB" w:rsidRPr="00B167EB">
        <w:rPr>
          <w:rFonts w:ascii="Times New Roman" w:eastAsia="方正仿宋简体" w:hAnsi="Times New Roman" w:cs="Times New Roman" w:hint="eastAsia"/>
          <w:sz w:val="28"/>
          <w:szCs w:val="24"/>
        </w:rPr>
        <w:t>认沽期权，之后视情况调整。</w:t>
      </w:r>
    </w:p>
    <w:p w:rsidR="00AB43C7" w:rsidRDefault="00466F78" w:rsidP="00652065">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sz w:val="28"/>
          <w:szCs w:val="24"/>
        </w:rPr>
        <w:t>在</w:t>
      </w:r>
      <w:r w:rsidR="005848D3">
        <w:rPr>
          <w:rFonts w:ascii="Times New Roman" w:eastAsia="方正仿宋简体" w:hAnsi="Times New Roman" w:cs="Times New Roman"/>
          <w:sz w:val="28"/>
          <w:szCs w:val="24"/>
        </w:rPr>
        <w:t>持有股票</w:t>
      </w:r>
      <w:r w:rsidR="005848D3">
        <w:rPr>
          <w:rFonts w:ascii="Times New Roman" w:eastAsia="方正仿宋简体" w:hAnsi="Times New Roman" w:cs="Times New Roman" w:hint="eastAsia"/>
          <w:sz w:val="28"/>
          <w:szCs w:val="24"/>
        </w:rPr>
        <w:t>、</w:t>
      </w:r>
      <w:r w:rsidR="005848D3">
        <w:rPr>
          <w:rFonts w:ascii="Times New Roman" w:eastAsia="方正仿宋简体" w:hAnsi="Times New Roman" w:cs="Times New Roman" w:hint="eastAsia"/>
          <w:sz w:val="28"/>
          <w:szCs w:val="24"/>
        </w:rPr>
        <w:t>ETF</w:t>
      </w:r>
      <w:r w:rsidR="005848D3">
        <w:rPr>
          <w:rFonts w:ascii="Times New Roman" w:eastAsia="方正仿宋简体" w:hAnsi="Times New Roman" w:cs="Times New Roman" w:hint="eastAsia"/>
          <w:sz w:val="28"/>
          <w:szCs w:val="24"/>
        </w:rPr>
        <w:t>等</w:t>
      </w:r>
      <w:r w:rsidR="00720BB2" w:rsidRPr="004F1B33">
        <w:rPr>
          <w:rFonts w:ascii="Times New Roman" w:eastAsia="方正仿宋简体" w:hAnsi="Times New Roman" w:cs="Times New Roman"/>
          <w:sz w:val="28"/>
          <w:szCs w:val="24"/>
        </w:rPr>
        <w:t>标的</w:t>
      </w:r>
      <w:r w:rsidR="005848D3">
        <w:rPr>
          <w:rFonts w:ascii="Times New Roman" w:eastAsia="方正仿宋简体" w:hAnsi="Times New Roman" w:cs="Times New Roman"/>
          <w:sz w:val="28"/>
          <w:szCs w:val="24"/>
        </w:rPr>
        <w:t>资产的</w:t>
      </w:r>
      <w:r w:rsidR="00720BB2" w:rsidRPr="004F1B33">
        <w:rPr>
          <w:rFonts w:ascii="Times New Roman" w:eastAsia="方正仿宋简体" w:hAnsi="Times New Roman" w:cs="Times New Roman"/>
          <w:sz w:val="28"/>
          <w:szCs w:val="24"/>
        </w:rPr>
        <w:t>基础上，作为一级投资者，要想</w:t>
      </w:r>
      <w:r w:rsidR="005848D3">
        <w:rPr>
          <w:rFonts w:ascii="Times New Roman" w:eastAsia="方正仿宋简体" w:hAnsi="Times New Roman" w:cs="Times New Roman" w:hint="eastAsia"/>
          <w:sz w:val="28"/>
          <w:szCs w:val="24"/>
        </w:rPr>
        <w:t>更</w:t>
      </w:r>
      <w:r w:rsidR="005848D3">
        <w:rPr>
          <w:rFonts w:ascii="Times New Roman" w:eastAsia="方正仿宋简体" w:hAnsi="Times New Roman" w:cs="Times New Roman"/>
          <w:sz w:val="28"/>
          <w:szCs w:val="24"/>
        </w:rPr>
        <w:t>精确</w:t>
      </w:r>
      <w:r w:rsidR="005848D3">
        <w:rPr>
          <w:rFonts w:ascii="Times New Roman" w:eastAsia="方正仿宋简体" w:hAnsi="Times New Roman" w:cs="Times New Roman" w:hint="eastAsia"/>
          <w:sz w:val="28"/>
          <w:szCs w:val="24"/>
        </w:rPr>
        <w:t>、更立体化地利用</w:t>
      </w:r>
      <w:r w:rsidR="005848D3">
        <w:rPr>
          <w:rFonts w:ascii="Times New Roman" w:eastAsia="方正仿宋简体" w:hAnsi="Times New Roman" w:cs="Times New Roman"/>
          <w:sz w:val="28"/>
          <w:szCs w:val="24"/>
        </w:rPr>
        <w:t>期权</w:t>
      </w:r>
      <w:r w:rsidR="00720BB2" w:rsidRPr="004F1B33">
        <w:rPr>
          <w:rFonts w:ascii="Times New Roman" w:eastAsia="方正仿宋简体" w:hAnsi="Times New Roman" w:cs="Times New Roman"/>
          <w:sz w:val="28"/>
          <w:szCs w:val="24"/>
        </w:rPr>
        <w:t>来增强持仓收益，还要熟悉掌握例如展期、</w:t>
      </w:r>
      <w:r w:rsidR="006F6E7D">
        <w:rPr>
          <w:rFonts w:ascii="Times New Roman" w:eastAsia="方正仿宋简体" w:hAnsi="Times New Roman" w:cs="Times New Roman" w:hint="eastAsia"/>
          <w:sz w:val="28"/>
          <w:szCs w:val="24"/>
        </w:rPr>
        <w:t>D</w:t>
      </w:r>
      <w:r w:rsidR="006F6E7D" w:rsidRPr="004F1B33">
        <w:rPr>
          <w:rFonts w:ascii="Times New Roman" w:eastAsia="方正仿宋简体" w:hAnsi="Times New Roman" w:cs="Times New Roman"/>
          <w:sz w:val="28"/>
          <w:szCs w:val="24"/>
        </w:rPr>
        <w:t>elta</w:t>
      </w:r>
      <w:r w:rsidR="00720BB2" w:rsidRPr="004F1B33">
        <w:rPr>
          <w:rFonts w:ascii="Times New Roman" w:eastAsia="方正仿宋简体" w:hAnsi="Times New Roman" w:cs="Times New Roman"/>
          <w:sz w:val="28"/>
          <w:szCs w:val="24"/>
        </w:rPr>
        <w:t>风险头寸替换等基本风险管理技巧</w:t>
      </w:r>
      <w:r w:rsidR="00C50AEE">
        <w:rPr>
          <w:rFonts w:ascii="Times New Roman" w:eastAsia="方正仿宋简体" w:hAnsi="Times New Roman" w:cs="Times New Roman" w:hint="eastAsia"/>
          <w:sz w:val="28"/>
          <w:szCs w:val="24"/>
        </w:rPr>
        <w:t>，</w:t>
      </w:r>
      <w:r w:rsidR="00720BB2" w:rsidRPr="004F1B33">
        <w:rPr>
          <w:rFonts w:ascii="Times New Roman" w:eastAsia="方正仿宋简体" w:hAnsi="Times New Roman" w:cs="Times New Roman"/>
          <w:sz w:val="28"/>
          <w:szCs w:val="24"/>
        </w:rPr>
        <w:t>并在实践中熟悉理解</w:t>
      </w:r>
      <w:r w:rsidR="00782F3F">
        <w:rPr>
          <w:rFonts w:ascii="Times New Roman" w:eastAsia="方正仿宋简体" w:hAnsi="Times New Roman" w:cs="Times New Roman" w:hint="eastAsia"/>
          <w:sz w:val="28"/>
          <w:szCs w:val="24"/>
        </w:rPr>
        <w:t>、</w:t>
      </w:r>
      <w:r w:rsidR="00720BB2" w:rsidRPr="004F1B33">
        <w:rPr>
          <w:rFonts w:ascii="Times New Roman" w:eastAsia="方正仿宋简体" w:hAnsi="Times New Roman" w:cs="Times New Roman"/>
          <w:sz w:val="28"/>
          <w:szCs w:val="24"/>
        </w:rPr>
        <w:t>灵活运用</w:t>
      </w:r>
      <w:r w:rsidR="00C50AEE">
        <w:rPr>
          <w:rFonts w:ascii="Times New Roman" w:eastAsia="方正仿宋简体" w:hAnsi="Times New Roman" w:cs="Times New Roman" w:hint="eastAsia"/>
          <w:sz w:val="28"/>
          <w:szCs w:val="24"/>
        </w:rPr>
        <w:t>。</w:t>
      </w:r>
      <w:r w:rsidR="00720BB2" w:rsidRPr="004F1B33">
        <w:rPr>
          <w:rFonts w:ascii="Times New Roman" w:eastAsia="方正仿宋简体" w:hAnsi="Times New Roman" w:cs="Times New Roman"/>
          <w:sz w:val="28"/>
          <w:szCs w:val="24"/>
        </w:rPr>
        <w:t>无论是事前风控，还是</w:t>
      </w:r>
      <w:r w:rsidR="009A5434" w:rsidRPr="009A5434">
        <w:rPr>
          <w:rFonts w:ascii="Times New Roman" w:eastAsia="方正仿宋简体" w:hAnsi="Times New Roman" w:cs="Times New Roman" w:hint="eastAsia"/>
          <w:sz w:val="28"/>
          <w:szCs w:val="24"/>
        </w:rPr>
        <w:t>事后管理</w:t>
      </w:r>
      <w:r w:rsidR="00720BB2" w:rsidRPr="004F1B33">
        <w:rPr>
          <w:rFonts w:ascii="Times New Roman" w:eastAsia="方正仿宋简体" w:hAnsi="Times New Roman" w:cs="Times New Roman"/>
          <w:sz w:val="28"/>
          <w:szCs w:val="24"/>
        </w:rPr>
        <w:t>，都需要在交易之前</w:t>
      </w:r>
      <w:r w:rsidR="001D5977">
        <w:rPr>
          <w:rFonts w:ascii="Times New Roman" w:eastAsia="方正仿宋简体" w:hAnsi="Times New Roman" w:cs="Times New Roman" w:hint="eastAsia"/>
          <w:sz w:val="28"/>
          <w:szCs w:val="24"/>
        </w:rPr>
        <w:t>做好准备</w:t>
      </w:r>
      <w:r w:rsidR="00720BB2" w:rsidRPr="004F1B33">
        <w:rPr>
          <w:rFonts w:ascii="Times New Roman" w:eastAsia="方正仿宋简体" w:hAnsi="Times New Roman" w:cs="Times New Roman"/>
          <w:sz w:val="28"/>
          <w:szCs w:val="24"/>
        </w:rPr>
        <w:t>，这样才能做到有的放矢，</w:t>
      </w:r>
      <w:r w:rsidR="0026561D">
        <w:rPr>
          <w:rFonts w:ascii="Times New Roman" w:eastAsia="方正仿宋简体" w:hAnsi="Times New Roman" w:cs="Times New Roman" w:hint="eastAsia"/>
          <w:sz w:val="28"/>
          <w:szCs w:val="24"/>
        </w:rPr>
        <w:t>更好地实现</w:t>
      </w:r>
      <w:r w:rsidR="0026561D">
        <w:rPr>
          <w:rFonts w:ascii="Times New Roman" w:eastAsia="方正仿宋简体" w:hAnsi="Times New Roman" w:cs="Times New Roman"/>
          <w:sz w:val="28"/>
          <w:szCs w:val="24"/>
        </w:rPr>
        <w:t>交易目的</w:t>
      </w:r>
      <w:r w:rsidR="00720BB2" w:rsidRPr="004F1B33">
        <w:rPr>
          <w:rFonts w:ascii="Times New Roman" w:eastAsia="方正仿宋简体" w:hAnsi="Times New Roman" w:cs="Times New Roman"/>
          <w:sz w:val="28"/>
          <w:szCs w:val="24"/>
        </w:rPr>
        <w:t>。</w:t>
      </w:r>
    </w:p>
    <w:p w:rsidR="00DE7E52" w:rsidRDefault="00AB63D7" w:rsidP="00652065">
      <w:pPr>
        <w:spacing w:line="560" w:lineRule="exact"/>
        <w:ind w:firstLineChars="200" w:firstLine="560"/>
        <w:rPr>
          <w:rFonts w:ascii="Times New Roman" w:eastAsia="方正仿宋简体" w:hAnsi="Times New Roman" w:cs="Times New Roman"/>
          <w:sz w:val="28"/>
          <w:szCs w:val="24"/>
        </w:rPr>
      </w:pPr>
      <w:r>
        <w:rPr>
          <w:rFonts w:ascii="Times New Roman" w:eastAsia="方正仿宋简体" w:hAnsi="Times New Roman" w:cs="Times New Roman" w:hint="eastAsia"/>
          <w:sz w:val="28"/>
          <w:szCs w:val="24"/>
        </w:rPr>
        <w:t>（平安证券股份有限公司</w:t>
      </w:r>
      <w:r w:rsidR="00E129F1">
        <w:rPr>
          <w:rFonts w:ascii="Times New Roman" w:eastAsia="方正仿宋简体" w:hAnsi="Times New Roman" w:cs="Times New Roman" w:hint="eastAsia"/>
          <w:sz w:val="28"/>
          <w:szCs w:val="24"/>
        </w:rPr>
        <w:t xml:space="preserve"> </w:t>
      </w:r>
      <w:r w:rsidR="009A5434">
        <w:rPr>
          <w:rFonts w:ascii="Times New Roman" w:eastAsia="方正仿宋简体" w:hAnsi="Times New Roman" w:cs="Times New Roman" w:hint="eastAsia"/>
          <w:sz w:val="28"/>
          <w:szCs w:val="24"/>
        </w:rPr>
        <w:t>敖露</w:t>
      </w:r>
      <w:r w:rsidR="00E129F1">
        <w:rPr>
          <w:rFonts w:ascii="Times New Roman" w:eastAsia="方正仿宋简体" w:hAnsi="Times New Roman" w:cs="Times New Roman" w:hint="eastAsia"/>
          <w:sz w:val="28"/>
          <w:szCs w:val="24"/>
        </w:rPr>
        <w:t xml:space="preserve"> </w:t>
      </w:r>
      <w:r>
        <w:rPr>
          <w:rFonts w:ascii="Times New Roman" w:eastAsia="方正仿宋简体" w:hAnsi="Times New Roman" w:cs="Times New Roman" w:hint="eastAsia"/>
          <w:sz w:val="28"/>
          <w:szCs w:val="24"/>
        </w:rPr>
        <w:t>供稿）</w:t>
      </w:r>
    </w:p>
    <w:p w:rsidR="00AB63D7" w:rsidRPr="00E129F1" w:rsidRDefault="00AB63D7" w:rsidP="00652065">
      <w:pPr>
        <w:spacing w:line="560" w:lineRule="exact"/>
        <w:ind w:firstLineChars="200" w:firstLine="560"/>
        <w:rPr>
          <w:rFonts w:ascii="Times New Roman" w:eastAsia="方正仿宋简体" w:hAnsi="Times New Roman" w:cs="Times New Roman"/>
          <w:sz w:val="28"/>
          <w:szCs w:val="24"/>
        </w:rPr>
      </w:pPr>
    </w:p>
    <w:p w:rsidR="00D24D85" w:rsidRPr="00122207" w:rsidRDefault="00D24D85" w:rsidP="00652065">
      <w:pPr>
        <w:spacing w:line="560" w:lineRule="exact"/>
        <w:ind w:firstLineChars="200" w:firstLine="560"/>
        <w:rPr>
          <w:rFonts w:ascii="Times New Roman" w:eastAsia="方正仿宋简体" w:hAnsi="Times New Roman" w:cs="Times New Roman"/>
          <w:sz w:val="28"/>
          <w:szCs w:val="28"/>
        </w:rPr>
      </w:pPr>
      <w:r w:rsidRPr="00122207">
        <w:rPr>
          <w:rFonts w:ascii="Times New Roman" w:eastAsia="方正仿宋简体" w:hAnsi="Times New Roman" w:cs="Times New Roman"/>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rsidR="00B352DF" w:rsidRPr="00B352DF" w:rsidRDefault="00B352DF" w:rsidP="002D35A5">
      <w:pPr>
        <w:spacing w:line="560" w:lineRule="exact"/>
        <w:ind w:firstLineChars="200" w:firstLine="560"/>
        <w:rPr>
          <w:rFonts w:ascii="Times New Roman" w:eastAsia="方正仿宋简体" w:hAnsi="Times New Roman" w:cs="Times New Roman"/>
          <w:sz w:val="28"/>
          <w:szCs w:val="24"/>
        </w:rPr>
      </w:pPr>
    </w:p>
    <w:sectPr w:rsidR="00B352DF" w:rsidRPr="00B352DF" w:rsidSect="0095053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C4" w:rsidRDefault="00103AC4" w:rsidP="00005BA6">
      <w:r>
        <w:separator/>
      </w:r>
    </w:p>
  </w:endnote>
  <w:endnote w:type="continuationSeparator" w:id="0">
    <w:p w:rsidR="00103AC4" w:rsidRDefault="00103AC4" w:rsidP="0000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64061"/>
      <w:docPartObj>
        <w:docPartGallery w:val="Page Numbers (Bottom of Page)"/>
        <w:docPartUnique/>
      </w:docPartObj>
    </w:sdtPr>
    <w:sdtEndPr>
      <w:rPr>
        <w:rFonts w:asciiTheme="minorEastAsia" w:hAnsiTheme="minorEastAsia"/>
        <w:sz w:val="24"/>
      </w:rPr>
    </w:sdtEndPr>
    <w:sdtContent>
      <w:p w:rsidR="006F54A4" w:rsidRPr="006F54A4" w:rsidRDefault="006F54A4" w:rsidP="006F54A4">
        <w:pPr>
          <w:pStyle w:val="a4"/>
          <w:jc w:val="center"/>
          <w:rPr>
            <w:rFonts w:asciiTheme="minorEastAsia" w:hAnsiTheme="minorEastAsia"/>
            <w:sz w:val="24"/>
          </w:rPr>
        </w:pPr>
        <w:r w:rsidRPr="006F54A4">
          <w:rPr>
            <w:rFonts w:asciiTheme="minorEastAsia" w:hAnsiTheme="minorEastAsia"/>
            <w:sz w:val="24"/>
          </w:rPr>
          <w:fldChar w:fldCharType="begin"/>
        </w:r>
        <w:r w:rsidRPr="006F54A4">
          <w:rPr>
            <w:rFonts w:asciiTheme="minorEastAsia" w:hAnsiTheme="minorEastAsia"/>
            <w:sz w:val="24"/>
          </w:rPr>
          <w:instrText>PAGE   \* MERGEFORMAT</w:instrText>
        </w:r>
        <w:r w:rsidRPr="006F54A4">
          <w:rPr>
            <w:rFonts w:asciiTheme="minorEastAsia" w:hAnsiTheme="minorEastAsia"/>
            <w:sz w:val="24"/>
          </w:rPr>
          <w:fldChar w:fldCharType="separate"/>
        </w:r>
        <w:r w:rsidR="00C25B4F" w:rsidRPr="00C25B4F">
          <w:rPr>
            <w:rFonts w:asciiTheme="minorEastAsia" w:hAnsiTheme="minorEastAsia"/>
            <w:noProof/>
            <w:sz w:val="24"/>
            <w:lang w:val="zh-CN"/>
          </w:rPr>
          <w:t>5</w:t>
        </w:r>
        <w:r w:rsidRPr="006F54A4">
          <w:rPr>
            <w:rFonts w:asciiTheme="minorEastAsia" w:hAnsiTheme="minorEastAsia"/>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C4" w:rsidRDefault="00103AC4" w:rsidP="00005BA6">
      <w:r>
        <w:separator/>
      </w:r>
    </w:p>
  </w:footnote>
  <w:footnote w:type="continuationSeparator" w:id="0">
    <w:p w:rsidR="00103AC4" w:rsidRDefault="00103AC4" w:rsidP="00005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3E48"/>
    <w:multiLevelType w:val="hybridMultilevel"/>
    <w:tmpl w:val="04A0E716"/>
    <w:lvl w:ilvl="0" w:tplc="0409000F">
      <w:start w:val="1"/>
      <w:numFmt w:val="decimal"/>
      <w:lvlText w:val="%1."/>
      <w:lvlJc w:val="left"/>
      <w:pPr>
        <w:ind w:left="0" w:hanging="420"/>
      </w:pPr>
      <w:rPr>
        <w:rFonts w:hint="default"/>
        <w:sz w:val="28"/>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nsid w:val="57622535"/>
    <w:multiLevelType w:val="hybridMultilevel"/>
    <w:tmpl w:val="5C685BDE"/>
    <w:lvl w:ilvl="0" w:tplc="37D0AA48">
      <w:start w:val="1"/>
      <w:numFmt w:val="decimal"/>
      <w:lvlText w:val="（%1）"/>
      <w:lvlJc w:val="left"/>
      <w:pPr>
        <w:ind w:left="0" w:hanging="420"/>
      </w:pPr>
      <w:rPr>
        <w:rFonts w:ascii="Times New Roman" w:hAnsi="Times New Roman" w:hint="default"/>
        <w:sz w:val="28"/>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nsid w:val="6F54406C"/>
    <w:multiLevelType w:val="hybridMultilevel"/>
    <w:tmpl w:val="3DB4AB7C"/>
    <w:lvl w:ilvl="0" w:tplc="37D0AA48">
      <w:start w:val="1"/>
      <w:numFmt w:val="decimal"/>
      <w:lvlText w:val="（%1）"/>
      <w:lvlJc w:val="left"/>
      <w:pPr>
        <w:ind w:left="990" w:hanging="420"/>
      </w:pPr>
      <w:rPr>
        <w:rFonts w:ascii="Times New Roman" w:hAnsi="Times New Roman" w:hint="default"/>
        <w:sz w:val="28"/>
      </w:rPr>
    </w:lvl>
    <w:lvl w:ilvl="1" w:tplc="241CA748">
      <w:start w:val="1"/>
      <w:numFmt w:val="decimalEnclosedCircle"/>
      <w:lvlText w:val="%2"/>
      <w:lvlJc w:val="left"/>
      <w:pPr>
        <w:ind w:left="1845" w:hanging="855"/>
      </w:pPr>
      <w:rPr>
        <w:rFonts w:hint="default"/>
      </w:r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nsid w:val="7FA10D39"/>
    <w:multiLevelType w:val="hybridMultilevel"/>
    <w:tmpl w:val="FC16A47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20"/>
    <w:rsid w:val="00005BA6"/>
    <w:rsid w:val="0002252E"/>
    <w:rsid w:val="00027DAF"/>
    <w:rsid w:val="00032639"/>
    <w:rsid w:val="00052505"/>
    <w:rsid w:val="000641CD"/>
    <w:rsid w:val="00073724"/>
    <w:rsid w:val="00077743"/>
    <w:rsid w:val="000B344B"/>
    <w:rsid w:val="000B36CE"/>
    <w:rsid w:val="000D63BB"/>
    <w:rsid w:val="000D7CDA"/>
    <w:rsid w:val="000E7C23"/>
    <w:rsid w:val="000F600E"/>
    <w:rsid w:val="000F7B0E"/>
    <w:rsid w:val="00103AC4"/>
    <w:rsid w:val="00116BF7"/>
    <w:rsid w:val="0011765F"/>
    <w:rsid w:val="001327D3"/>
    <w:rsid w:val="001339E0"/>
    <w:rsid w:val="00136F49"/>
    <w:rsid w:val="0014170E"/>
    <w:rsid w:val="001446D0"/>
    <w:rsid w:val="00145551"/>
    <w:rsid w:val="00146F60"/>
    <w:rsid w:val="00147958"/>
    <w:rsid w:val="00162CCA"/>
    <w:rsid w:val="00173C28"/>
    <w:rsid w:val="00177413"/>
    <w:rsid w:val="00193957"/>
    <w:rsid w:val="00195C73"/>
    <w:rsid w:val="00195F8C"/>
    <w:rsid w:val="001C241D"/>
    <w:rsid w:val="001D2CCB"/>
    <w:rsid w:val="001D5977"/>
    <w:rsid w:val="001E6187"/>
    <w:rsid w:val="001F18E8"/>
    <w:rsid w:val="00200862"/>
    <w:rsid w:val="002046AB"/>
    <w:rsid w:val="0021034A"/>
    <w:rsid w:val="00222D02"/>
    <w:rsid w:val="0024743B"/>
    <w:rsid w:val="00250ACA"/>
    <w:rsid w:val="00251A19"/>
    <w:rsid w:val="002525DB"/>
    <w:rsid w:val="002547FF"/>
    <w:rsid w:val="0026561D"/>
    <w:rsid w:val="00270D68"/>
    <w:rsid w:val="00271AAD"/>
    <w:rsid w:val="0027488F"/>
    <w:rsid w:val="00276A4E"/>
    <w:rsid w:val="00276D9A"/>
    <w:rsid w:val="00280B47"/>
    <w:rsid w:val="00287620"/>
    <w:rsid w:val="00291ED3"/>
    <w:rsid w:val="00292851"/>
    <w:rsid w:val="00295218"/>
    <w:rsid w:val="002A5D9D"/>
    <w:rsid w:val="002B0373"/>
    <w:rsid w:val="002D2163"/>
    <w:rsid w:val="002D35A5"/>
    <w:rsid w:val="002D6716"/>
    <w:rsid w:val="002E262B"/>
    <w:rsid w:val="00300907"/>
    <w:rsid w:val="00302B97"/>
    <w:rsid w:val="003042A5"/>
    <w:rsid w:val="00306609"/>
    <w:rsid w:val="00307BEA"/>
    <w:rsid w:val="003136EB"/>
    <w:rsid w:val="00320068"/>
    <w:rsid w:val="00367EC6"/>
    <w:rsid w:val="003736C2"/>
    <w:rsid w:val="003821D9"/>
    <w:rsid w:val="00392EE8"/>
    <w:rsid w:val="0039530C"/>
    <w:rsid w:val="003A2D0A"/>
    <w:rsid w:val="003A41F8"/>
    <w:rsid w:val="003B0423"/>
    <w:rsid w:val="003C06FC"/>
    <w:rsid w:val="003C3FDC"/>
    <w:rsid w:val="003D30A7"/>
    <w:rsid w:val="003D3184"/>
    <w:rsid w:val="003D620E"/>
    <w:rsid w:val="003D7077"/>
    <w:rsid w:val="003F192F"/>
    <w:rsid w:val="003F2CEA"/>
    <w:rsid w:val="003F358E"/>
    <w:rsid w:val="003F44CB"/>
    <w:rsid w:val="00401B25"/>
    <w:rsid w:val="00405057"/>
    <w:rsid w:val="004055C1"/>
    <w:rsid w:val="00407963"/>
    <w:rsid w:val="00411DA4"/>
    <w:rsid w:val="004133CE"/>
    <w:rsid w:val="00417F61"/>
    <w:rsid w:val="004273B7"/>
    <w:rsid w:val="00427EF0"/>
    <w:rsid w:val="00440894"/>
    <w:rsid w:val="00445119"/>
    <w:rsid w:val="00445963"/>
    <w:rsid w:val="0045316F"/>
    <w:rsid w:val="00456C04"/>
    <w:rsid w:val="00462CA7"/>
    <w:rsid w:val="0046488C"/>
    <w:rsid w:val="00466F78"/>
    <w:rsid w:val="00475F14"/>
    <w:rsid w:val="0049299E"/>
    <w:rsid w:val="00492D11"/>
    <w:rsid w:val="00497640"/>
    <w:rsid w:val="004A2921"/>
    <w:rsid w:val="004B45B0"/>
    <w:rsid w:val="004C2387"/>
    <w:rsid w:val="004C6380"/>
    <w:rsid w:val="004E0B57"/>
    <w:rsid w:val="004E13F2"/>
    <w:rsid w:val="004E7328"/>
    <w:rsid w:val="004F1B33"/>
    <w:rsid w:val="004F23F2"/>
    <w:rsid w:val="004F52B4"/>
    <w:rsid w:val="00517FC0"/>
    <w:rsid w:val="005335D8"/>
    <w:rsid w:val="0053413B"/>
    <w:rsid w:val="00536A59"/>
    <w:rsid w:val="005578B1"/>
    <w:rsid w:val="00560DE3"/>
    <w:rsid w:val="005848D3"/>
    <w:rsid w:val="00587D80"/>
    <w:rsid w:val="00591CBD"/>
    <w:rsid w:val="0059326D"/>
    <w:rsid w:val="005C36DD"/>
    <w:rsid w:val="005D0E10"/>
    <w:rsid w:val="005E0A00"/>
    <w:rsid w:val="005E2BC4"/>
    <w:rsid w:val="005E52D6"/>
    <w:rsid w:val="005F08AF"/>
    <w:rsid w:val="00602D82"/>
    <w:rsid w:val="00616CE6"/>
    <w:rsid w:val="00625434"/>
    <w:rsid w:val="00632EEB"/>
    <w:rsid w:val="00642FAA"/>
    <w:rsid w:val="00644537"/>
    <w:rsid w:val="00652065"/>
    <w:rsid w:val="00652913"/>
    <w:rsid w:val="00663147"/>
    <w:rsid w:val="00665DFE"/>
    <w:rsid w:val="0067008B"/>
    <w:rsid w:val="0067197B"/>
    <w:rsid w:val="0068387C"/>
    <w:rsid w:val="0068431E"/>
    <w:rsid w:val="006844B2"/>
    <w:rsid w:val="006902BD"/>
    <w:rsid w:val="006B1C66"/>
    <w:rsid w:val="006C763A"/>
    <w:rsid w:val="006D45E9"/>
    <w:rsid w:val="006D7FA6"/>
    <w:rsid w:val="006E0214"/>
    <w:rsid w:val="006E35B0"/>
    <w:rsid w:val="006F54A4"/>
    <w:rsid w:val="006F64C1"/>
    <w:rsid w:val="006F6E7D"/>
    <w:rsid w:val="00701889"/>
    <w:rsid w:val="007071C8"/>
    <w:rsid w:val="0071355D"/>
    <w:rsid w:val="00720BB2"/>
    <w:rsid w:val="00732FB7"/>
    <w:rsid w:val="007507D9"/>
    <w:rsid w:val="007564EA"/>
    <w:rsid w:val="00764328"/>
    <w:rsid w:val="00767212"/>
    <w:rsid w:val="0076799C"/>
    <w:rsid w:val="007732A4"/>
    <w:rsid w:val="0077383E"/>
    <w:rsid w:val="007755BC"/>
    <w:rsid w:val="007778D0"/>
    <w:rsid w:val="00782F3F"/>
    <w:rsid w:val="00784763"/>
    <w:rsid w:val="007909CD"/>
    <w:rsid w:val="007914A5"/>
    <w:rsid w:val="007A0F6F"/>
    <w:rsid w:val="007A7553"/>
    <w:rsid w:val="007B0573"/>
    <w:rsid w:val="007B642F"/>
    <w:rsid w:val="007F1497"/>
    <w:rsid w:val="0080531B"/>
    <w:rsid w:val="008102B9"/>
    <w:rsid w:val="008103A3"/>
    <w:rsid w:val="00817056"/>
    <w:rsid w:val="00821873"/>
    <w:rsid w:val="00821C68"/>
    <w:rsid w:val="00826198"/>
    <w:rsid w:val="00832D34"/>
    <w:rsid w:val="00857B72"/>
    <w:rsid w:val="00860897"/>
    <w:rsid w:val="00871A49"/>
    <w:rsid w:val="00882097"/>
    <w:rsid w:val="00884389"/>
    <w:rsid w:val="0089050B"/>
    <w:rsid w:val="008A3DB8"/>
    <w:rsid w:val="008A6A48"/>
    <w:rsid w:val="008C3EAD"/>
    <w:rsid w:val="008D3305"/>
    <w:rsid w:val="008E357F"/>
    <w:rsid w:val="008E74C9"/>
    <w:rsid w:val="008F7711"/>
    <w:rsid w:val="00916308"/>
    <w:rsid w:val="00916A9F"/>
    <w:rsid w:val="00916B5E"/>
    <w:rsid w:val="0091784A"/>
    <w:rsid w:val="009277CB"/>
    <w:rsid w:val="009317A1"/>
    <w:rsid w:val="009353D8"/>
    <w:rsid w:val="009402AA"/>
    <w:rsid w:val="0094315B"/>
    <w:rsid w:val="00943FFA"/>
    <w:rsid w:val="009451E9"/>
    <w:rsid w:val="00950440"/>
    <w:rsid w:val="00950534"/>
    <w:rsid w:val="00967D4E"/>
    <w:rsid w:val="00995BB2"/>
    <w:rsid w:val="009A3D54"/>
    <w:rsid w:val="009A5434"/>
    <w:rsid w:val="009B6C29"/>
    <w:rsid w:val="009C0C9C"/>
    <w:rsid w:val="009D0F4D"/>
    <w:rsid w:val="009D71B9"/>
    <w:rsid w:val="009E4578"/>
    <w:rsid w:val="009F3445"/>
    <w:rsid w:val="009F7295"/>
    <w:rsid w:val="00A0011C"/>
    <w:rsid w:val="00A04C45"/>
    <w:rsid w:val="00A16D4F"/>
    <w:rsid w:val="00A205D5"/>
    <w:rsid w:val="00A40CD4"/>
    <w:rsid w:val="00A42990"/>
    <w:rsid w:val="00A45101"/>
    <w:rsid w:val="00A45E66"/>
    <w:rsid w:val="00A47EB0"/>
    <w:rsid w:val="00A509E8"/>
    <w:rsid w:val="00A52DBF"/>
    <w:rsid w:val="00A56703"/>
    <w:rsid w:val="00A56DCD"/>
    <w:rsid w:val="00A77243"/>
    <w:rsid w:val="00A81D49"/>
    <w:rsid w:val="00A87923"/>
    <w:rsid w:val="00A92C07"/>
    <w:rsid w:val="00AA2E2E"/>
    <w:rsid w:val="00AB43C7"/>
    <w:rsid w:val="00AB63D7"/>
    <w:rsid w:val="00AC36A6"/>
    <w:rsid w:val="00AC474C"/>
    <w:rsid w:val="00AE3400"/>
    <w:rsid w:val="00AE7BA0"/>
    <w:rsid w:val="00AF1C7D"/>
    <w:rsid w:val="00B10D31"/>
    <w:rsid w:val="00B13D06"/>
    <w:rsid w:val="00B167EB"/>
    <w:rsid w:val="00B26CEF"/>
    <w:rsid w:val="00B352DF"/>
    <w:rsid w:val="00B40764"/>
    <w:rsid w:val="00B421A7"/>
    <w:rsid w:val="00B47807"/>
    <w:rsid w:val="00B56CF9"/>
    <w:rsid w:val="00B82C5A"/>
    <w:rsid w:val="00B87096"/>
    <w:rsid w:val="00B90A9E"/>
    <w:rsid w:val="00B92FC2"/>
    <w:rsid w:val="00B9688A"/>
    <w:rsid w:val="00BA1542"/>
    <w:rsid w:val="00BA2F5C"/>
    <w:rsid w:val="00BA4A70"/>
    <w:rsid w:val="00BC5B5C"/>
    <w:rsid w:val="00BD572F"/>
    <w:rsid w:val="00BD754F"/>
    <w:rsid w:val="00BE5391"/>
    <w:rsid w:val="00C02D3C"/>
    <w:rsid w:val="00C03372"/>
    <w:rsid w:val="00C0550C"/>
    <w:rsid w:val="00C065FE"/>
    <w:rsid w:val="00C2051F"/>
    <w:rsid w:val="00C25B4F"/>
    <w:rsid w:val="00C50AEE"/>
    <w:rsid w:val="00C54531"/>
    <w:rsid w:val="00C55AFF"/>
    <w:rsid w:val="00C560D0"/>
    <w:rsid w:val="00C812C3"/>
    <w:rsid w:val="00C81630"/>
    <w:rsid w:val="00CA60B1"/>
    <w:rsid w:val="00CC59B4"/>
    <w:rsid w:val="00CD119C"/>
    <w:rsid w:val="00CD5F6F"/>
    <w:rsid w:val="00CE1125"/>
    <w:rsid w:val="00CF453C"/>
    <w:rsid w:val="00CF7832"/>
    <w:rsid w:val="00D040CC"/>
    <w:rsid w:val="00D12A7A"/>
    <w:rsid w:val="00D24D85"/>
    <w:rsid w:val="00D2506E"/>
    <w:rsid w:val="00D36BBC"/>
    <w:rsid w:val="00D47BEB"/>
    <w:rsid w:val="00D511B0"/>
    <w:rsid w:val="00D54594"/>
    <w:rsid w:val="00D55B10"/>
    <w:rsid w:val="00D72E6B"/>
    <w:rsid w:val="00D73402"/>
    <w:rsid w:val="00D84D17"/>
    <w:rsid w:val="00D90575"/>
    <w:rsid w:val="00D920CD"/>
    <w:rsid w:val="00DB3F86"/>
    <w:rsid w:val="00DD0DBE"/>
    <w:rsid w:val="00DE4399"/>
    <w:rsid w:val="00DE7E52"/>
    <w:rsid w:val="00DF250D"/>
    <w:rsid w:val="00E018AB"/>
    <w:rsid w:val="00E129F1"/>
    <w:rsid w:val="00E24210"/>
    <w:rsid w:val="00E25831"/>
    <w:rsid w:val="00E40321"/>
    <w:rsid w:val="00E45329"/>
    <w:rsid w:val="00E47BFA"/>
    <w:rsid w:val="00E566F9"/>
    <w:rsid w:val="00E76616"/>
    <w:rsid w:val="00E90020"/>
    <w:rsid w:val="00EA0106"/>
    <w:rsid w:val="00EA2BC7"/>
    <w:rsid w:val="00EA3826"/>
    <w:rsid w:val="00EA422C"/>
    <w:rsid w:val="00EA7A99"/>
    <w:rsid w:val="00EB01CA"/>
    <w:rsid w:val="00EB7DD1"/>
    <w:rsid w:val="00EC142A"/>
    <w:rsid w:val="00EC39FC"/>
    <w:rsid w:val="00EC6BC9"/>
    <w:rsid w:val="00ED041B"/>
    <w:rsid w:val="00EE7BC7"/>
    <w:rsid w:val="00EF1BBA"/>
    <w:rsid w:val="00F11591"/>
    <w:rsid w:val="00F11F4E"/>
    <w:rsid w:val="00F20DE6"/>
    <w:rsid w:val="00F25C04"/>
    <w:rsid w:val="00F30E3B"/>
    <w:rsid w:val="00F43937"/>
    <w:rsid w:val="00F51C26"/>
    <w:rsid w:val="00F6592E"/>
    <w:rsid w:val="00F80FE2"/>
    <w:rsid w:val="00F92207"/>
    <w:rsid w:val="00F933B9"/>
    <w:rsid w:val="00FB7059"/>
    <w:rsid w:val="00FD16C1"/>
    <w:rsid w:val="00FD4A8B"/>
    <w:rsid w:val="00FD6DF2"/>
    <w:rsid w:val="00FE0746"/>
    <w:rsid w:val="00FE759E"/>
    <w:rsid w:val="00FF0A37"/>
    <w:rsid w:val="00FF2546"/>
    <w:rsid w:val="00FF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B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BA6"/>
    <w:rPr>
      <w:sz w:val="18"/>
      <w:szCs w:val="18"/>
    </w:rPr>
  </w:style>
  <w:style w:type="paragraph" w:styleId="a4">
    <w:name w:val="footer"/>
    <w:basedOn w:val="a"/>
    <w:link w:val="Char0"/>
    <w:uiPriority w:val="99"/>
    <w:unhideWhenUsed/>
    <w:rsid w:val="00005BA6"/>
    <w:pPr>
      <w:tabs>
        <w:tab w:val="center" w:pos="4153"/>
        <w:tab w:val="right" w:pos="8306"/>
      </w:tabs>
      <w:snapToGrid w:val="0"/>
      <w:jc w:val="left"/>
    </w:pPr>
    <w:rPr>
      <w:sz w:val="18"/>
      <w:szCs w:val="18"/>
    </w:rPr>
  </w:style>
  <w:style w:type="character" w:customStyle="1" w:styleId="Char0">
    <w:name w:val="页脚 Char"/>
    <w:basedOn w:val="a0"/>
    <w:link w:val="a4"/>
    <w:uiPriority w:val="99"/>
    <w:rsid w:val="00005BA6"/>
    <w:rPr>
      <w:sz w:val="18"/>
      <w:szCs w:val="18"/>
    </w:rPr>
  </w:style>
  <w:style w:type="paragraph" w:styleId="a5">
    <w:name w:val="Document Map"/>
    <w:basedOn w:val="a"/>
    <w:link w:val="Char1"/>
    <w:uiPriority w:val="99"/>
    <w:semiHidden/>
    <w:unhideWhenUsed/>
    <w:rsid w:val="00222D02"/>
    <w:rPr>
      <w:rFonts w:ascii="宋体" w:eastAsia="宋体"/>
      <w:sz w:val="18"/>
      <w:szCs w:val="18"/>
    </w:rPr>
  </w:style>
  <w:style w:type="character" w:customStyle="1" w:styleId="Char1">
    <w:name w:val="文档结构图 Char"/>
    <w:basedOn w:val="a0"/>
    <w:link w:val="a5"/>
    <w:uiPriority w:val="99"/>
    <w:semiHidden/>
    <w:rsid w:val="00222D02"/>
    <w:rPr>
      <w:rFonts w:ascii="宋体" w:eastAsia="宋体"/>
      <w:sz w:val="18"/>
      <w:szCs w:val="18"/>
    </w:rPr>
  </w:style>
  <w:style w:type="paragraph" w:styleId="a6">
    <w:name w:val="Balloon Text"/>
    <w:basedOn w:val="a"/>
    <w:link w:val="Char2"/>
    <w:uiPriority w:val="99"/>
    <w:semiHidden/>
    <w:unhideWhenUsed/>
    <w:rsid w:val="00F25C04"/>
    <w:rPr>
      <w:sz w:val="18"/>
      <w:szCs w:val="18"/>
    </w:rPr>
  </w:style>
  <w:style w:type="character" w:customStyle="1" w:styleId="Char2">
    <w:name w:val="批注框文本 Char"/>
    <w:basedOn w:val="a0"/>
    <w:link w:val="a6"/>
    <w:uiPriority w:val="99"/>
    <w:semiHidden/>
    <w:rsid w:val="00F25C04"/>
    <w:rPr>
      <w:sz w:val="18"/>
      <w:szCs w:val="18"/>
    </w:rPr>
  </w:style>
  <w:style w:type="table" w:styleId="a7">
    <w:name w:val="Table Grid"/>
    <w:basedOn w:val="a1"/>
    <w:uiPriority w:val="59"/>
    <w:rsid w:val="003B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Char3"/>
    <w:uiPriority w:val="10"/>
    <w:qFormat/>
    <w:rsid w:val="00587D80"/>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8"/>
    <w:uiPriority w:val="10"/>
    <w:rsid w:val="00587D80"/>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767212"/>
    <w:rPr>
      <w:sz w:val="21"/>
      <w:szCs w:val="21"/>
    </w:rPr>
  </w:style>
  <w:style w:type="paragraph" w:styleId="aa">
    <w:name w:val="annotation text"/>
    <w:basedOn w:val="a"/>
    <w:link w:val="Char4"/>
    <w:uiPriority w:val="99"/>
    <w:semiHidden/>
    <w:unhideWhenUsed/>
    <w:rsid w:val="00767212"/>
    <w:pPr>
      <w:jc w:val="left"/>
    </w:pPr>
  </w:style>
  <w:style w:type="character" w:customStyle="1" w:styleId="Char4">
    <w:name w:val="批注文字 Char"/>
    <w:basedOn w:val="a0"/>
    <w:link w:val="aa"/>
    <w:uiPriority w:val="99"/>
    <w:semiHidden/>
    <w:rsid w:val="00767212"/>
  </w:style>
  <w:style w:type="paragraph" w:styleId="ab">
    <w:name w:val="annotation subject"/>
    <w:basedOn w:val="aa"/>
    <w:next w:val="aa"/>
    <w:link w:val="Char5"/>
    <w:uiPriority w:val="99"/>
    <w:semiHidden/>
    <w:unhideWhenUsed/>
    <w:rsid w:val="00767212"/>
    <w:rPr>
      <w:b/>
      <w:bCs/>
    </w:rPr>
  </w:style>
  <w:style w:type="character" w:customStyle="1" w:styleId="Char5">
    <w:name w:val="批注主题 Char"/>
    <w:basedOn w:val="Char4"/>
    <w:link w:val="ab"/>
    <w:uiPriority w:val="99"/>
    <w:semiHidden/>
    <w:rsid w:val="00767212"/>
    <w:rPr>
      <w:b/>
      <w:bCs/>
    </w:rPr>
  </w:style>
  <w:style w:type="paragraph" w:styleId="ac">
    <w:name w:val="caption"/>
    <w:basedOn w:val="a"/>
    <w:next w:val="a"/>
    <w:uiPriority w:val="35"/>
    <w:unhideWhenUsed/>
    <w:qFormat/>
    <w:rsid w:val="00B47807"/>
    <w:rPr>
      <w:rFonts w:asciiTheme="majorHAnsi" w:eastAsia="黑体" w:hAnsiTheme="majorHAnsi" w:cstheme="majorBidi"/>
      <w:sz w:val="20"/>
      <w:szCs w:val="20"/>
    </w:rPr>
  </w:style>
  <w:style w:type="paragraph" w:styleId="ad">
    <w:name w:val="List Paragraph"/>
    <w:basedOn w:val="a"/>
    <w:uiPriority w:val="34"/>
    <w:qFormat/>
    <w:rsid w:val="00B167EB"/>
    <w:pPr>
      <w:ind w:firstLineChars="200" w:firstLine="420"/>
    </w:pPr>
  </w:style>
  <w:style w:type="paragraph" w:styleId="ae">
    <w:name w:val="No Spacing"/>
    <w:uiPriority w:val="1"/>
    <w:qFormat/>
    <w:rsid w:val="009A5434"/>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5B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5BA6"/>
    <w:rPr>
      <w:sz w:val="18"/>
      <w:szCs w:val="18"/>
    </w:rPr>
  </w:style>
  <w:style w:type="paragraph" w:styleId="a4">
    <w:name w:val="footer"/>
    <w:basedOn w:val="a"/>
    <w:link w:val="Char0"/>
    <w:uiPriority w:val="99"/>
    <w:unhideWhenUsed/>
    <w:rsid w:val="00005BA6"/>
    <w:pPr>
      <w:tabs>
        <w:tab w:val="center" w:pos="4153"/>
        <w:tab w:val="right" w:pos="8306"/>
      </w:tabs>
      <w:snapToGrid w:val="0"/>
      <w:jc w:val="left"/>
    </w:pPr>
    <w:rPr>
      <w:sz w:val="18"/>
      <w:szCs w:val="18"/>
    </w:rPr>
  </w:style>
  <w:style w:type="character" w:customStyle="1" w:styleId="Char0">
    <w:name w:val="页脚 Char"/>
    <w:basedOn w:val="a0"/>
    <w:link w:val="a4"/>
    <w:uiPriority w:val="99"/>
    <w:rsid w:val="00005BA6"/>
    <w:rPr>
      <w:sz w:val="18"/>
      <w:szCs w:val="18"/>
    </w:rPr>
  </w:style>
  <w:style w:type="paragraph" w:styleId="a5">
    <w:name w:val="Document Map"/>
    <w:basedOn w:val="a"/>
    <w:link w:val="Char1"/>
    <w:uiPriority w:val="99"/>
    <w:semiHidden/>
    <w:unhideWhenUsed/>
    <w:rsid w:val="00222D02"/>
    <w:rPr>
      <w:rFonts w:ascii="宋体" w:eastAsia="宋体"/>
      <w:sz w:val="18"/>
      <w:szCs w:val="18"/>
    </w:rPr>
  </w:style>
  <w:style w:type="character" w:customStyle="1" w:styleId="Char1">
    <w:name w:val="文档结构图 Char"/>
    <w:basedOn w:val="a0"/>
    <w:link w:val="a5"/>
    <w:uiPriority w:val="99"/>
    <w:semiHidden/>
    <w:rsid w:val="00222D02"/>
    <w:rPr>
      <w:rFonts w:ascii="宋体" w:eastAsia="宋体"/>
      <w:sz w:val="18"/>
      <w:szCs w:val="18"/>
    </w:rPr>
  </w:style>
  <w:style w:type="paragraph" w:styleId="a6">
    <w:name w:val="Balloon Text"/>
    <w:basedOn w:val="a"/>
    <w:link w:val="Char2"/>
    <w:uiPriority w:val="99"/>
    <w:semiHidden/>
    <w:unhideWhenUsed/>
    <w:rsid w:val="00F25C04"/>
    <w:rPr>
      <w:sz w:val="18"/>
      <w:szCs w:val="18"/>
    </w:rPr>
  </w:style>
  <w:style w:type="character" w:customStyle="1" w:styleId="Char2">
    <w:name w:val="批注框文本 Char"/>
    <w:basedOn w:val="a0"/>
    <w:link w:val="a6"/>
    <w:uiPriority w:val="99"/>
    <w:semiHidden/>
    <w:rsid w:val="00F25C04"/>
    <w:rPr>
      <w:sz w:val="18"/>
      <w:szCs w:val="18"/>
    </w:rPr>
  </w:style>
  <w:style w:type="table" w:styleId="a7">
    <w:name w:val="Table Grid"/>
    <w:basedOn w:val="a1"/>
    <w:uiPriority w:val="59"/>
    <w:rsid w:val="003B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Char3"/>
    <w:uiPriority w:val="10"/>
    <w:qFormat/>
    <w:rsid w:val="00587D80"/>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8"/>
    <w:uiPriority w:val="10"/>
    <w:rsid w:val="00587D80"/>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767212"/>
    <w:rPr>
      <w:sz w:val="21"/>
      <w:szCs w:val="21"/>
    </w:rPr>
  </w:style>
  <w:style w:type="paragraph" w:styleId="aa">
    <w:name w:val="annotation text"/>
    <w:basedOn w:val="a"/>
    <w:link w:val="Char4"/>
    <w:uiPriority w:val="99"/>
    <w:semiHidden/>
    <w:unhideWhenUsed/>
    <w:rsid w:val="00767212"/>
    <w:pPr>
      <w:jc w:val="left"/>
    </w:pPr>
  </w:style>
  <w:style w:type="character" w:customStyle="1" w:styleId="Char4">
    <w:name w:val="批注文字 Char"/>
    <w:basedOn w:val="a0"/>
    <w:link w:val="aa"/>
    <w:uiPriority w:val="99"/>
    <w:semiHidden/>
    <w:rsid w:val="00767212"/>
  </w:style>
  <w:style w:type="paragraph" w:styleId="ab">
    <w:name w:val="annotation subject"/>
    <w:basedOn w:val="aa"/>
    <w:next w:val="aa"/>
    <w:link w:val="Char5"/>
    <w:uiPriority w:val="99"/>
    <w:semiHidden/>
    <w:unhideWhenUsed/>
    <w:rsid w:val="00767212"/>
    <w:rPr>
      <w:b/>
      <w:bCs/>
    </w:rPr>
  </w:style>
  <w:style w:type="character" w:customStyle="1" w:styleId="Char5">
    <w:name w:val="批注主题 Char"/>
    <w:basedOn w:val="Char4"/>
    <w:link w:val="ab"/>
    <w:uiPriority w:val="99"/>
    <w:semiHidden/>
    <w:rsid w:val="00767212"/>
    <w:rPr>
      <w:b/>
      <w:bCs/>
    </w:rPr>
  </w:style>
  <w:style w:type="paragraph" w:styleId="ac">
    <w:name w:val="caption"/>
    <w:basedOn w:val="a"/>
    <w:next w:val="a"/>
    <w:uiPriority w:val="35"/>
    <w:unhideWhenUsed/>
    <w:qFormat/>
    <w:rsid w:val="00B47807"/>
    <w:rPr>
      <w:rFonts w:asciiTheme="majorHAnsi" w:eastAsia="黑体" w:hAnsiTheme="majorHAnsi" w:cstheme="majorBidi"/>
      <w:sz w:val="20"/>
      <w:szCs w:val="20"/>
    </w:rPr>
  </w:style>
  <w:style w:type="paragraph" w:styleId="ad">
    <w:name w:val="List Paragraph"/>
    <w:basedOn w:val="a"/>
    <w:uiPriority w:val="34"/>
    <w:qFormat/>
    <w:rsid w:val="00B167EB"/>
    <w:pPr>
      <w:ind w:firstLineChars="200" w:firstLine="420"/>
    </w:pPr>
  </w:style>
  <w:style w:type="paragraph" w:styleId="ae">
    <w:name w:val="No Spacing"/>
    <w:uiPriority w:val="1"/>
    <w:qFormat/>
    <w:rsid w:val="009A543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7389">
      <w:bodyDiv w:val="1"/>
      <w:marLeft w:val="0"/>
      <w:marRight w:val="0"/>
      <w:marTop w:val="0"/>
      <w:marBottom w:val="0"/>
      <w:divBdr>
        <w:top w:val="none" w:sz="0" w:space="0" w:color="auto"/>
        <w:left w:val="none" w:sz="0" w:space="0" w:color="auto"/>
        <w:bottom w:val="none" w:sz="0" w:space="0" w:color="auto"/>
        <w:right w:val="none" w:sz="0" w:space="0" w:color="auto"/>
      </w:divBdr>
    </w:div>
    <w:div w:id="1543907926">
      <w:bodyDiv w:val="1"/>
      <w:marLeft w:val="0"/>
      <w:marRight w:val="0"/>
      <w:marTop w:val="0"/>
      <w:marBottom w:val="0"/>
      <w:divBdr>
        <w:top w:val="none" w:sz="0" w:space="0" w:color="auto"/>
        <w:left w:val="none" w:sz="0" w:space="0" w:color="auto"/>
        <w:bottom w:val="none" w:sz="0" w:space="0" w:color="auto"/>
        <w:right w:val="none" w:sz="0" w:space="0" w:color="auto"/>
      </w:divBdr>
    </w:div>
    <w:div w:id="20927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81568-146B-41C2-8853-7062E821A4FD}">
  <ds:schemaRefs>
    <ds:schemaRef ds:uri="http://schemas.microsoft.com/sharepoint/v3/contenttype/forms"/>
  </ds:schemaRefs>
</ds:datastoreItem>
</file>

<file path=customXml/itemProps2.xml><?xml version="1.0" encoding="utf-8"?>
<ds:datastoreItem xmlns:ds="http://schemas.openxmlformats.org/officeDocument/2006/customXml" ds:itemID="{B259F5D7-AF1E-46F7-8101-14EE9A4893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C0FFB-9BB6-49B8-BC11-4DB4E9FE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E87BFE-F841-4DC0-B2AD-F20CFA7B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lx</dc:creator>
  <cp:lastModifiedBy>陈洁[jiec]</cp:lastModifiedBy>
  <cp:revision>9</cp:revision>
  <cp:lastPrinted>2020-02-28T08:15:00Z</cp:lastPrinted>
  <dcterms:created xsi:type="dcterms:W3CDTF">2020-03-03T07:56:00Z</dcterms:created>
  <dcterms:modified xsi:type="dcterms:W3CDTF">2020-03-05T01:29:00Z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