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4AE" w:rsidRDefault="004714AE" w:rsidP="004714AE">
      <w:pPr>
        <w:ind w:firstLine="880"/>
        <w:rPr>
          <w:rFonts w:ascii="宋体" w:hAnsi="宋体" w:hint="eastAsia"/>
          <w:sz w:val="44"/>
          <w:szCs w:val="44"/>
        </w:rPr>
      </w:pPr>
    </w:p>
    <w:p w:rsidR="00E3693F" w:rsidRPr="00E3693F" w:rsidRDefault="00E3693F" w:rsidP="004714AE">
      <w:pPr>
        <w:ind w:firstLine="880"/>
        <w:rPr>
          <w:rFonts w:ascii="宋体" w:hAnsi="宋体" w:hint="eastAsia"/>
          <w:sz w:val="44"/>
          <w:szCs w:val="44"/>
        </w:rPr>
      </w:pPr>
      <w:bookmarkStart w:id="0" w:name="_GoBack"/>
      <w:bookmarkEnd w:id="0"/>
    </w:p>
    <w:p w:rsidR="004714AE" w:rsidRPr="00E3693F" w:rsidRDefault="004714AE" w:rsidP="004714AE">
      <w:pPr>
        <w:ind w:firstLine="880"/>
        <w:rPr>
          <w:rFonts w:ascii="宋体" w:hAnsi="宋体"/>
          <w:sz w:val="44"/>
          <w:szCs w:val="44"/>
        </w:rPr>
      </w:pPr>
    </w:p>
    <w:p w:rsidR="004714AE" w:rsidRPr="00E3693F" w:rsidRDefault="004714AE" w:rsidP="004714AE">
      <w:pPr>
        <w:ind w:firstLine="880"/>
        <w:rPr>
          <w:rFonts w:ascii="宋体" w:hAnsi="宋体"/>
          <w:sz w:val="44"/>
          <w:szCs w:val="44"/>
        </w:rPr>
      </w:pPr>
    </w:p>
    <w:p w:rsidR="00D95E75" w:rsidRPr="00E3693F" w:rsidRDefault="004714AE" w:rsidP="00D95E75">
      <w:pPr>
        <w:ind w:firstLine="880"/>
        <w:jc w:val="center"/>
        <w:rPr>
          <w:rFonts w:ascii="宋体" w:hAnsi="宋体"/>
          <w:sz w:val="44"/>
          <w:szCs w:val="44"/>
        </w:rPr>
      </w:pPr>
      <w:r w:rsidRPr="00E3693F">
        <w:rPr>
          <w:rFonts w:ascii="宋体" w:hAnsi="宋体" w:hint="eastAsia"/>
          <w:sz w:val="44"/>
          <w:szCs w:val="44"/>
        </w:rPr>
        <w:t>全国银行间同业拆借中心</w:t>
      </w:r>
      <w:r w:rsidR="004025D4" w:rsidRPr="00E3693F">
        <w:rPr>
          <w:rFonts w:ascii="宋体" w:hAnsi="宋体" w:hint="eastAsia"/>
          <w:sz w:val="44"/>
          <w:szCs w:val="44"/>
        </w:rPr>
        <w:t>“债券通”</w:t>
      </w:r>
    </w:p>
    <w:p w:rsidR="004714AE" w:rsidRPr="00E3693F" w:rsidRDefault="004714AE" w:rsidP="000878A4">
      <w:pPr>
        <w:ind w:firstLine="880"/>
        <w:jc w:val="center"/>
        <w:rPr>
          <w:rFonts w:ascii="宋体" w:hAnsi="宋体"/>
          <w:sz w:val="44"/>
          <w:szCs w:val="44"/>
        </w:rPr>
      </w:pPr>
      <w:r w:rsidRPr="00E3693F">
        <w:rPr>
          <w:rFonts w:ascii="宋体" w:hAnsi="宋体" w:hint="eastAsia"/>
          <w:sz w:val="44"/>
          <w:szCs w:val="44"/>
        </w:rPr>
        <w:t>交易规则（试行）</w:t>
      </w:r>
    </w:p>
    <w:p w:rsidR="004714AE" w:rsidRPr="00E3693F" w:rsidRDefault="004714AE" w:rsidP="004714AE">
      <w:pPr>
        <w:ind w:firstLine="640"/>
        <w:jc w:val="center"/>
        <w:rPr>
          <w:rFonts w:ascii="宋体" w:hAnsi="宋体"/>
          <w:sz w:val="32"/>
          <w:szCs w:val="32"/>
        </w:rPr>
      </w:pPr>
    </w:p>
    <w:p w:rsidR="004714AE" w:rsidRPr="00E3693F" w:rsidRDefault="004714AE" w:rsidP="004714AE">
      <w:pPr>
        <w:ind w:firstLine="640"/>
        <w:jc w:val="center"/>
        <w:rPr>
          <w:sz w:val="32"/>
          <w:szCs w:val="32"/>
        </w:rPr>
      </w:pPr>
    </w:p>
    <w:p w:rsidR="004714AE" w:rsidRPr="00E3693F" w:rsidRDefault="004714AE" w:rsidP="004714AE">
      <w:pPr>
        <w:pStyle w:val="1"/>
        <w:ind w:firstLine="640"/>
        <w:jc w:val="center"/>
        <w:rPr>
          <w:rFonts w:ascii="黑体" w:eastAsia="黑体" w:hAnsi="黑体"/>
          <w:sz w:val="32"/>
          <w:szCs w:val="32"/>
        </w:rPr>
      </w:pPr>
      <w:r w:rsidRPr="00E3693F">
        <w:rPr>
          <w:rFonts w:ascii="黑体" w:eastAsia="黑体" w:hAnsi="黑体" w:hint="eastAsia"/>
          <w:sz w:val="32"/>
          <w:szCs w:val="32"/>
        </w:rPr>
        <w:t>第一章 总则</w:t>
      </w:r>
    </w:p>
    <w:p w:rsidR="004714AE" w:rsidRPr="00E3693F" w:rsidRDefault="004714AE" w:rsidP="004714AE">
      <w:pPr>
        <w:ind w:firstLine="643"/>
        <w:rPr>
          <w:sz w:val="32"/>
          <w:szCs w:val="32"/>
        </w:rPr>
      </w:pPr>
      <w:r w:rsidRPr="00E3693F">
        <w:rPr>
          <w:rFonts w:hint="eastAsia"/>
          <w:b/>
          <w:sz w:val="32"/>
          <w:szCs w:val="32"/>
        </w:rPr>
        <w:t>1.1</w:t>
      </w:r>
      <w:r w:rsidRPr="00E3693F">
        <w:rPr>
          <w:rFonts w:hint="eastAsia"/>
          <w:sz w:val="32"/>
          <w:szCs w:val="32"/>
        </w:rPr>
        <w:t>为保证</w:t>
      </w:r>
      <w:r w:rsidR="006A075F" w:rsidRPr="00E3693F">
        <w:rPr>
          <w:rFonts w:hint="eastAsia"/>
          <w:sz w:val="32"/>
          <w:szCs w:val="32"/>
        </w:rPr>
        <w:t>“</w:t>
      </w:r>
      <w:r w:rsidR="00BF58EC" w:rsidRPr="00E3693F">
        <w:rPr>
          <w:rFonts w:hint="eastAsia"/>
          <w:sz w:val="32"/>
          <w:szCs w:val="32"/>
        </w:rPr>
        <w:t>债券通”</w:t>
      </w:r>
      <w:r w:rsidRPr="00E3693F">
        <w:rPr>
          <w:rFonts w:hint="eastAsia"/>
          <w:sz w:val="32"/>
          <w:szCs w:val="32"/>
        </w:rPr>
        <w:t>业务规范、有序开展，根据中国人民银行（以下简称“人民银行”）和香港金融管理局关于</w:t>
      </w:r>
      <w:r w:rsidR="00E87AC0" w:rsidRPr="00E3693F">
        <w:rPr>
          <w:rFonts w:hint="eastAsia"/>
          <w:sz w:val="32"/>
          <w:szCs w:val="32"/>
        </w:rPr>
        <w:t>“</w:t>
      </w:r>
      <w:r w:rsidR="00BF58EC" w:rsidRPr="00E3693F">
        <w:rPr>
          <w:rFonts w:hint="eastAsia"/>
          <w:sz w:val="32"/>
          <w:szCs w:val="32"/>
        </w:rPr>
        <w:t>债券通”</w:t>
      </w:r>
      <w:r w:rsidRPr="00E3693F">
        <w:rPr>
          <w:rFonts w:hint="eastAsia"/>
          <w:sz w:val="32"/>
          <w:szCs w:val="32"/>
        </w:rPr>
        <w:t>的联合公告，人民银行</w:t>
      </w:r>
      <w:r w:rsidRPr="00E3693F">
        <w:rPr>
          <w:rFonts w:hAnsi="仿宋" w:hint="eastAsia"/>
          <w:sz w:val="32"/>
          <w:szCs w:val="32"/>
        </w:rPr>
        <w:t>《内地与香港债券市场互联互通合作管理暂行办法》</w:t>
      </w:r>
      <w:r w:rsidRPr="00E3693F">
        <w:rPr>
          <w:rFonts w:hint="eastAsia"/>
          <w:sz w:val="32"/>
          <w:szCs w:val="32"/>
        </w:rPr>
        <w:t>、《全国银行间债券市场债券交易管理办法》（中国人民银行令〔2000〕第2号）、中国人民银行公告〔2015〕第9号，全国银行间同业拆借中心（以下简称“交易中心”）《全国银行间市场债券交易规则》（中汇交发〔2010〕第283号）（以下简称“《债券交易规则》”）、《全国银行间同业拆借中心债券交易流通规则》（中汇交发〔</w:t>
      </w:r>
      <w:r w:rsidRPr="00E3693F">
        <w:rPr>
          <w:sz w:val="32"/>
          <w:szCs w:val="32"/>
        </w:rPr>
        <w:t>2015</w:t>
      </w:r>
      <w:r w:rsidRPr="00E3693F">
        <w:rPr>
          <w:rFonts w:hint="eastAsia"/>
          <w:sz w:val="32"/>
          <w:szCs w:val="32"/>
        </w:rPr>
        <w:t>〕第203号，以下简称“《流通规则》”）及其他相关业务规则，制定本规则。</w:t>
      </w:r>
    </w:p>
    <w:p w:rsidR="004714AE" w:rsidRPr="00E3693F" w:rsidRDefault="004714AE" w:rsidP="004714AE">
      <w:pPr>
        <w:ind w:firstLine="643"/>
        <w:rPr>
          <w:sz w:val="32"/>
          <w:szCs w:val="32"/>
        </w:rPr>
      </w:pPr>
      <w:r w:rsidRPr="00E3693F">
        <w:rPr>
          <w:rFonts w:hint="eastAsia"/>
          <w:b/>
          <w:sz w:val="32"/>
          <w:szCs w:val="32"/>
        </w:rPr>
        <w:t>1.2</w:t>
      </w:r>
      <w:r w:rsidRPr="00E3693F">
        <w:rPr>
          <w:rFonts w:hint="eastAsia"/>
          <w:sz w:val="32"/>
          <w:szCs w:val="32"/>
        </w:rPr>
        <w:t>本规则所称</w:t>
      </w:r>
      <w:r w:rsidR="00703E5B" w:rsidRPr="00E3693F">
        <w:rPr>
          <w:rFonts w:hint="eastAsia"/>
          <w:sz w:val="32"/>
          <w:szCs w:val="32"/>
        </w:rPr>
        <w:t>“</w:t>
      </w:r>
      <w:r w:rsidR="00BF58EC" w:rsidRPr="00E3693F">
        <w:rPr>
          <w:rFonts w:hint="eastAsia"/>
          <w:sz w:val="32"/>
          <w:szCs w:val="32"/>
        </w:rPr>
        <w:t>债券通”</w:t>
      </w:r>
      <w:r w:rsidRPr="00E3693F">
        <w:rPr>
          <w:rFonts w:hint="eastAsia"/>
          <w:sz w:val="32"/>
          <w:szCs w:val="32"/>
        </w:rPr>
        <w:t>，是指境内外投资者通过内地与香港债券市场基础设施机构连接，买卖两个市场交易流通债券的机制安排。</w:t>
      </w:r>
    </w:p>
    <w:p w:rsidR="004714AE" w:rsidRPr="00E3693F" w:rsidRDefault="004714AE" w:rsidP="004714AE">
      <w:pPr>
        <w:ind w:firstLine="640"/>
        <w:rPr>
          <w:sz w:val="32"/>
          <w:szCs w:val="32"/>
        </w:rPr>
      </w:pPr>
      <w:r w:rsidRPr="00E3693F">
        <w:rPr>
          <w:rFonts w:hint="eastAsia"/>
          <w:sz w:val="32"/>
          <w:szCs w:val="32"/>
        </w:rPr>
        <w:t>本规则适用于“北向通”。“北向通”是指境外投资者通</w:t>
      </w:r>
      <w:r w:rsidRPr="00E3693F">
        <w:rPr>
          <w:rFonts w:hint="eastAsia"/>
          <w:sz w:val="32"/>
          <w:szCs w:val="32"/>
        </w:rPr>
        <w:lastRenderedPageBreak/>
        <w:t>过内地与香港债券市场基础设施的互联互通，投资于内地银行间债券市场的机制安排。</w:t>
      </w:r>
    </w:p>
    <w:p w:rsidR="004714AE" w:rsidRPr="00E3693F" w:rsidRDefault="004714AE" w:rsidP="004714AE">
      <w:pPr>
        <w:ind w:firstLine="643"/>
        <w:rPr>
          <w:b/>
          <w:sz w:val="32"/>
          <w:szCs w:val="32"/>
        </w:rPr>
      </w:pPr>
      <w:r w:rsidRPr="00E3693F">
        <w:rPr>
          <w:b/>
          <w:sz w:val="32"/>
          <w:szCs w:val="32"/>
        </w:rPr>
        <w:t>1.3</w:t>
      </w:r>
      <w:r w:rsidRPr="00E3693F">
        <w:rPr>
          <w:rFonts w:hint="eastAsia"/>
          <w:sz w:val="32"/>
          <w:szCs w:val="32"/>
        </w:rPr>
        <w:t>交易中心为“北向通”提供交易服务。参与“北向通”交易的境内外投资者（以下简称“‘北向通’投资者”）、经人民银行认可的接入交易中心系统并为境外投资者提供客户端的境外电子交易平台（以下简称“境外电子交易平台”）、承担支持“北向通”相关交易服务职能的机构（以下简称“‘北向通’交易服务机构”），开展“北向通”交易相关业务应遵守本规则。</w:t>
      </w:r>
    </w:p>
    <w:p w:rsidR="004714AE" w:rsidRPr="00E3693F" w:rsidRDefault="004714AE" w:rsidP="004714AE">
      <w:pPr>
        <w:ind w:firstLine="643"/>
        <w:jc w:val="left"/>
        <w:rPr>
          <w:sz w:val="32"/>
          <w:szCs w:val="32"/>
        </w:rPr>
      </w:pPr>
      <w:r w:rsidRPr="00E3693F">
        <w:rPr>
          <w:b/>
          <w:sz w:val="32"/>
          <w:szCs w:val="32"/>
        </w:rPr>
        <w:t>1.4</w:t>
      </w:r>
      <w:r w:rsidRPr="00E3693F">
        <w:rPr>
          <w:rFonts w:hint="eastAsia"/>
          <w:sz w:val="32"/>
          <w:szCs w:val="32"/>
        </w:rPr>
        <w:t>上述机构开展“北向通”业务，应遵守内地相关法律、行政法规、部门规章、规范性文件和业务规则。“北向通”交易服务机构应当为境外投资者了解内地相关法律和规则、业务流程、市场信息等提供必要的便利和指引。</w:t>
      </w:r>
    </w:p>
    <w:p w:rsidR="004714AE" w:rsidRPr="00E3693F" w:rsidRDefault="004714AE" w:rsidP="004714AE">
      <w:pPr>
        <w:ind w:firstLine="643"/>
        <w:rPr>
          <w:sz w:val="32"/>
          <w:szCs w:val="32"/>
        </w:rPr>
      </w:pPr>
      <w:r w:rsidRPr="00E3693F">
        <w:rPr>
          <w:b/>
          <w:sz w:val="32"/>
          <w:szCs w:val="32"/>
        </w:rPr>
        <w:t>1.</w:t>
      </w:r>
      <w:r w:rsidRPr="00E3693F">
        <w:rPr>
          <w:rFonts w:hint="eastAsia"/>
          <w:b/>
          <w:sz w:val="32"/>
          <w:szCs w:val="32"/>
        </w:rPr>
        <w:t xml:space="preserve">5 </w:t>
      </w:r>
      <w:r w:rsidRPr="00E3693F">
        <w:rPr>
          <w:rFonts w:hint="eastAsia"/>
          <w:sz w:val="32"/>
          <w:szCs w:val="32"/>
        </w:rPr>
        <w:t>“北向通”投资者开展“北向通”交易，应遵循公平、诚信的原则，并按银行间债券市场相关规定履行交易信息披露和报告义务。</w:t>
      </w:r>
    </w:p>
    <w:p w:rsidR="004714AE" w:rsidRPr="00E3693F" w:rsidRDefault="004714AE" w:rsidP="004714AE">
      <w:pPr>
        <w:ind w:firstLine="640"/>
        <w:rPr>
          <w:sz w:val="32"/>
          <w:szCs w:val="32"/>
        </w:rPr>
      </w:pPr>
    </w:p>
    <w:p w:rsidR="004714AE" w:rsidRPr="00E3693F" w:rsidRDefault="004714AE" w:rsidP="004714AE">
      <w:pPr>
        <w:pStyle w:val="1"/>
        <w:ind w:firstLine="640"/>
        <w:jc w:val="center"/>
        <w:rPr>
          <w:rFonts w:ascii="黑体" w:eastAsia="黑体" w:hAnsi="黑体"/>
          <w:sz w:val="32"/>
          <w:szCs w:val="32"/>
        </w:rPr>
      </w:pPr>
      <w:r w:rsidRPr="00E3693F">
        <w:rPr>
          <w:rFonts w:ascii="黑体" w:eastAsia="黑体" w:hAnsi="黑体" w:hint="eastAsia"/>
          <w:sz w:val="32"/>
          <w:szCs w:val="32"/>
        </w:rPr>
        <w:t>第二章 投资者管理</w:t>
      </w:r>
    </w:p>
    <w:p w:rsidR="004714AE" w:rsidRPr="00E3693F" w:rsidRDefault="004714AE" w:rsidP="004714AE">
      <w:pPr>
        <w:ind w:firstLine="643"/>
        <w:rPr>
          <w:sz w:val="32"/>
          <w:szCs w:val="32"/>
        </w:rPr>
      </w:pPr>
      <w:r w:rsidRPr="00E3693F">
        <w:rPr>
          <w:b/>
          <w:sz w:val="32"/>
          <w:szCs w:val="32"/>
        </w:rPr>
        <w:t>2.</w:t>
      </w:r>
      <w:r w:rsidRPr="00E3693F">
        <w:rPr>
          <w:rFonts w:hint="eastAsia"/>
          <w:b/>
          <w:sz w:val="32"/>
          <w:szCs w:val="32"/>
        </w:rPr>
        <w:t>1</w:t>
      </w:r>
      <w:r w:rsidRPr="00E3693F">
        <w:rPr>
          <w:rFonts w:hint="eastAsia"/>
          <w:sz w:val="32"/>
          <w:szCs w:val="32"/>
        </w:rPr>
        <w:t>参与“北向通”交易的境外投资者，应符合中国人民银行公告〔2016〕第3号、《关于境外央行、国际金融组织、主权财富基金用人民币投资银行间市场有关事宜的通知》（银发〔2015〕220号）等规定的银行间债券市场准入条件。</w:t>
      </w:r>
    </w:p>
    <w:p w:rsidR="004714AE" w:rsidRPr="00E3693F" w:rsidRDefault="004714AE" w:rsidP="004714AE">
      <w:pPr>
        <w:ind w:firstLine="643"/>
        <w:rPr>
          <w:sz w:val="32"/>
          <w:szCs w:val="32"/>
          <w:highlight w:val="yellow"/>
        </w:rPr>
      </w:pPr>
      <w:r w:rsidRPr="00E3693F">
        <w:rPr>
          <w:b/>
          <w:sz w:val="32"/>
          <w:szCs w:val="32"/>
        </w:rPr>
        <w:t>2.</w:t>
      </w:r>
      <w:r w:rsidRPr="00E3693F">
        <w:rPr>
          <w:rFonts w:hint="eastAsia"/>
          <w:b/>
          <w:sz w:val="32"/>
          <w:szCs w:val="32"/>
        </w:rPr>
        <w:t>2</w:t>
      </w:r>
      <w:r w:rsidRPr="00E3693F">
        <w:rPr>
          <w:rFonts w:hint="eastAsia"/>
          <w:sz w:val="32"/>
          <w:szCs w:val="32"/>
        </w:rPr>
        <w:t>境外投资者入市流程按照交易中心制定的入市指引办理。交易中心可代符合条件的境外投资者办理银行间债券</w:t>
      </w:r>
      <w:r w:rsidRPr="00E3693F">
        <w:rPr>
          <w:rFonts w:hint="eastAsia"/>
          <w:sz w:val="32"/>
          <w:szCs w:val="32"/>
        </w:rPr>
        <w:lastRenderedPageBreak/>
        <w:t>市场准入备案，并开立交易账户。开立交易账户后，境外投资者成为交易中心交易成员。</w:t>
      </w:r>
    </w:p>
    <w:p w:rsidR="004714AE" w:rsidRPr="00E3693F" w:rsidRDefault="004714AE" w:rsidP="004714AE">
      <w:pPr>
        <w:ind w:firstLine="643"/>
        <w:rPr>
          <w:sz w:val="32"/>
          <w:szCs w:val="32"/>
        </w:rPr>
      </w:pPr>
      <w:r w:rsidRPr="00E3693F">
        <w:rPr>
          <w:rFonts w:hint="eastAsia"/>
          <w:b/>
          <w:sz w:val="32"/>
          <w:szCs w:val="32"/>
        </w:rPr>
        <w:t>2.3</w:t>
      </w:r>
      <w:r w:rsidRPr="00E3693F">
        <w:rPr>
          <w:rFonts w:hint="eastAsia"/>
          <w:sz w:val="32"/>
          <w:szCs w:val="32"/>
        </w:rPr>
        <w:t>交易中心定期将境外投资者交易账户开立情况向人民银行上海总部报告。</w:t>
      </w:r>
    </w:p>
    <w:p w:rsidR="004714AE" w:rsidRPr="00E3693F" w:rsidRDefault="004714AE" w:rsidP="004714AE">
      <w:pPr>
        <w:ind w:firstLine="643"/>
        <w:rPr>
          <w:sz w:val="32"/>
          <w:szCs w:val="32"/>
        </w:rPr>
      </w:pPr>
      <w:r w:rsidRPr="00E3693F">
        <w:rPr>
          <w:b/>
          <w:sz w:val="32"/>
          <w:szCs w:val="32"/>
        </w:rPr>
        <w:t>2.4</w:t>
      </w:r>
      <w:r w:rsidRPr="00E3693F">
        <w:rPr>
          <w:rFonts w:hint="eastAsia"/>
          <w:sz w:val="32"/>
          <w:szCs w:val="32"/>
        </w:rPr>
        <w:t>交易中心组织“北向通”报价机构（以下简称“报价机构”），为境外投资者持续提供报价。</w:t>
      </w:r>
    </w:p>
    <w:p w:rsidR="004714AE" w:rsidRPr="00E3693F" w:rsidRDefault="004714AE" w:rsidP="004714AE">
      <w:pPr>
        <w:ind w:firstLine="643"/>
        <w:rPr>
          <w:sz w:val="32"/>
          <w:szCs w:val="32"/>
        </w:rPr>
      </w:pPr>
      <w:r w:rsidRPr="00E3693F">
        <w:rPr>
          <w:b/>
          <w:sz w:val="32"/>
          <w:szCs w:val="32"/>
        </w:rPr>
        <w:t>2.5</w:t>
      </w:r>
      <w:r w:rsidRPr="00E3693F">
        <w:rPr>
          <w:rFonts w:hint="eastAsia"/>
          <w:sz w:val="32"/>
          <w:szCs w:val="32"/>
        </w:rPr>
        <w:t>报价机构应是具备较强的报价、定价能力，且具有良好国际声誉的做市机构，具备支持“北向通”业务持续稳定开展的人员、制度和设施，以及其他为债券市场提供流动性所必要的能力。</w:t>
      </w:r>
    </w:p>
    <w:p w:rsidR="004714AE" w:rsidRPr="00E3693F" w:rsidRDefault="004714AE" w:rsidP="004714AE">
      <w:pPr>
        <w:ind w:firstLine="643"/>
        <w:rPr>
          <w:sz w:val="32"/>
          <w:szCs w:val="32"/>
        </w:rPr>
      </w:pPr>
      <w:r w:rsidRPr="00E3693F">
        <w:rPr>
          <w:b/>
          <w:sz w:val="32"/>
          <w:szCs w:val="32"/>
        </w:rPr>
        <w:t>2.6</w:t>
      </w:r>
      <w:r w:rsidRPr="00E3693F">
        <w:rPr>
          <w:rFonts w:hint="eastAsia"/>
          <w:sz w:val="32"/>
          <w:szCs w:val="32"/>
        </w:rPr>
        <w:t>报价机构参与“北向通”业务，应与交易中心签署相关协议，约定双方权利和义务。</w:t>
      </w:r>
    </w:p>
    <w:p w:rsidR="004714AE" w:rsidRPr="00E3693F" w:rsidRDefault="004714AE" w:rsidP="004714AE">
      <w:pPr>
        <w:ind w:firstLine="640"/>
        <w:rPr>
          <w:sz w:val="32"/>
          <w:szCs w:val="32"/>
        </w:rPr>
      </w:pPr>
    </w:p>
    <w:p w:rsidR="004714AE" w:rsidRPr="00E3693F" w:rsidRDefault="004714AE" w:rsidP="004714AE">
      <w:pPr>
        <w:pStyle w:val="1"/>
        <w:ind w:firstLine="640"/>
        <w:jc w:val="center"/>
        <w:rPr>
          <w:rFonts w:ascii="黑体" w:eastAsia="黑体" w:hAnsi="黑体"/>
          <w:sz w:val="32"/>
          <w:szCs w:val="32"/>
        </w:rPr>
      </w:pPr>
      <w:r w:rsidRPr="00E3693F">
        <w:rPr>
          <w:rFonts w:ascii="黑体" w:eastAsia="黑体" w:hAnsi="黑体" w:hint="eastAsia"/>
          <w:sz w:val="32"/>
          <w:szCs w:val="32"/>
        </w:rPr>
        <w:t>第三章 市场基本规则</w:t>
      </w:r>
    </w:p>
    <w:p w:rsidR="004714AE" w:rsidRPr="00E3693F" w:rsidRDefault="004714AE" w:rsidP="004714AE">
      <w:pPr>
        <w:ind w:firstLine="643"/>
        <w:rPr>
          <w:sz w:val="32"/>
          <w:szCs w:val="32"/>
        </w:rPr>
      </w:pPr>
      <w:r w:rsidRPr="00E3693F">
        <w:rPr>
          <w:rFonts w:hint="eastAsia"/>
          <w:b/>
          <w:sz w:val="32"/>
          <w:szCs w:val="32"/>
        </w:rPr>
        <w:t>3.1</w:t>
      </w:r>
      <w:r w:rsidRPr="00E3693F">
        <w:rPr>
          <w:rFonts w:hint="eastAsia"/>
          <w:sz w:val="32"/>
          <w:szCs w:val="32"/>
        </w:rPr>
        <w:t>“北向通”交易的品种为现券买卖，可交易的券种为银行间债券市场交易流通的以人民币计价的各类债券，包括国债、地方政府债、中央银行债券、金融债券、公司信用类债券、同业存单、资产支持证券等。</w:t>
      </w:r>
    </w:p>
    <w:p w:rsidR="004714AE" w:rsidRPr="00E3693F" w:rsidRDefault="004714AE" w:rsidP="004714AE">
      <w:pPr>
        <w:ind w:firstLine="643"/>
        <w:rPr>
          <w:sz w:val="32"/>
          <w:szCs w:val="32"/>
        </w:rPr>
      </w:pPr>
      <w:r w:rsidRPr="00E3693F">
        <w:rPr>
          <w:rFonts w:hint="eastAsia"/>
          <w:b/>
          <w:sz w:val="32"/>
          <w:szCs w:val="32"/>
        </w:rPr>
        <w:t>3.2</w:t>
      </w:r>
      <w:r w:rsidRPr="00E3693F">
        <w:rPr>
          <w:rFonts w:hint="eastAsia"/>
          <w:sz w:val="32"/>
          <w:szCs w:val="32"/>
        </w:rPr>
        <w:t>“北向通”交易日为内地银行间债券市场、香港市场均为</w:t>
      </w:r>
      <w:proofErr w:type="gramStart"/>
      <w:r w:rsidRPr="00E3693F">
        <w:rPr>
          <w:rFonts w:hint="eastAsia"/>
          <w:sz w:val="32"/>
          <w:szCs w:val="32"/>
        </w:rPr>
        <w:t>交易日且能够</w:t>
      </w:r>
      <w:proofErr w:type="gramEnd"/>
      <w:r w:rsidRPr="00E3693F">
        <w:rPr>
          <w:rFonts w:hint="eastAsia"/>
          <w:sz w:val="32"/>
          <w:szCs w:val="32"/>
        </w:rPr>
        <w:t>满足结算安排的日期。</w:t>
      </w:r>
    </w:p>
    <w:p w:rsidR="004714AE" w:rsidRPr="00E3693F" w:rsidRDefault="004714AE" w:rsidP="004714AE">
      <w:pPr>
        <w:ind w:firstLine="643"/>
        <w:rPr>
          <w:sz w:val="32"/>
          <w:szCs w:val="32"/>
        </w:rPr>
      </w:pPr>
      <w:r w:rsidRPr="00E3693F">
        <w:rPr>
          <w:rFonts w:hint="eastAsia"/>
          <w:b/>
          <w:sz w:val="32"/>
          <w:szCs w:val="32"/>
        </w:rPr>
        <w:t>3.3</w:t>
      </w:r>
      <w:r w:rsidRPr="00E3693F">
        <w:rPr>
          <w:rFonts w:hint="eastAsia"/>
          <w:sz w:val="32"/>
          <w:szCs w:val="32"/>
        </w:rPr>
        <w:t>“北向通”交易时间为内地银行间债券市场交易时间，具体为每个交易日北京时间上午9：00—12:00,下午13:30—16:30。</w:t>
      </w:r>
    </w:p>
    <w:p w:rsidR="004714AE" w:rsidRPr="00E3693F" w:rsidRDefault="004714AE" w:rsidP="004714AE">
      <w:pPr>
        <w:ind w:firstLine="643"/>
        <w:rPr>
          <w:sz w:val="32"/>
          <w:szCs w:val="32"/>
        </w:rPr>
      </w:pPr>
      <w:r w:rsidRPr="00E3693F">
        <w:rPr>
          <w:b/>
          <w:sz w:val="32"/>
          <w:szCs w:val="32"/>
        </w:rPr>
        <w:t>3.4</w:t>
      </w:r>
      <w:r w:rsidRPr="00E3693F">
        <w:rPr>
          <w:rFonts w:hint="eastAsia"/>
          <w:sz w:val="32"/>
          <w:szCs w:val="32"/>
        </w:rPr>
        <w:t>“北向通”结算方式为券款对付（DVP）。</w:t>
      </w:r>
    </w:p>
    <w:p w:rsidR="004714AE" w:rsidRPr="00E3693F" w:rsidRDefault="004714AE" w:rsidP="004714AE">
      <w:pPr>
        <w:ind w:firstLine="643"/>
        <w:rPr>
          <w:sz w:val="32"/>
          <w:szCs w:val="32"/>
        </w:rPr>
      </w:pPr>
      <w:r w:rsidRPr="00E3693F">
        <w:rPr>
          <w:b/>
          <w:sz w:val="32"/>
          <w:szCs w:val="32"/>
        </w:rPr>
        <w:lastRenderedPageBreak/>
        <w:t>3.</w:t>
      </w:r>
      <w:r w:rsidRPr="00E3693F">
        <w:rPr>
          <w:rFonts w:hint="eastAsia"/>
          <w:b/>
          <w:sz w:val="32"/>
          <w:szCs w:val="32"/>
        </w:rPr>
        <w:t>5</w:t>
      </w:r>
      <w:r w:rsidRPr="00E3693F">
        <w:rPr>
          <w:rFonts w:hint="eastAsia"/>
          <w:sz w:val="32"/>
          <w:szCs w:val="32"/>
        </w:rPr>
        <w:t>“北向通”交易应符合人民银行、国家外汇管理局关于资金跨境流动管理等各项规定。</w:t>
      </w:r>
    </w:p>
    <w:p w:rsidR="004714AE" w:rsidRPr="00E3693F" w:rsidRDefault="004714AE" w:rsidP="004714AE">
      <w:pPr>
        <w:ind w:firstLine="643"/>
        <w:rPr>
          <w:sz w:val="32"/>
          <w:szCs w:val="32"/>
        </w:rPr>
      </w:pPr>
      <w:r w:rsidRPr="00E3693F">
        <w:rPr>
          <w:b/>
          <w:sz w:val="32"/>
          <w:szCs w:val="32"/>
        </w:rPr>
        <w:t>3.6</w:t>
      </w:r>
      <w:r w:rsidRPr="00E3693F">
        <w:rPr>
          <w:rFonts w:hint="eastAsia"/>
          <w:sz w:val="32"/>
          <w:szCs w:val="32"/>
        </w:rPr>
        <w:t>“北向通”交易手续费参照银行间债券市场交易收费规则执行。</w:t>
      </w:r>
    </w:p>
    <w:p w:rsidR="004714AE" w:rsidRPr="00E3693F" w:rsidRDefault="004714AE" w:rsidP="004714AE">
      <w:pPr>
        <w:ind w:firstLine="640"/>
        <w:rPr>
          <w:sz w:val="32"/>
          <w:szCs w:val="32"/>
        </w:rPr>
      </w:pPr>
    </w:p>
    <w:p w:rsidR="004714AE" w:rsidRPr="00E3693F" w:rsidRDefault="004714AE" w:rsidP="004714AE">
      <w:pPr>
        <w:pStyle w:val="1"/>
        <w:ind w:firstLine="640"/>
        <w:jc w:val="center"/>
        <w:rPr>
          <w:rFonts w:ascii="黑体" w:eastAsia="黑体" w:hAnsi="黑体"/>
          <w:sz w:val="32"/>
          <w:szCs w:val="32"/>
        </w:rPr>
      </w:pPr>
      <w:r w:rsidRPr="00E3693F">
        <w:rPr>
          <w:rFonts w:ascii="黑体" w:eastAsia="黑体" w:hAnsi="黑体" w:hint="eastAsia"/>
          <w:sz w:val="32"/>
          <w:szCs w:val="32"/>
        </w:rPr>
        <w:t>第四章 报价交易</w:t>
      </w:r>
    </w:p>
    <w:p w:rsidR="004714AE" w:rsidRPr="00E3693F" w:rsidRDefault="004714AE" w:rsidP="004714AE">
      <w:pPr>
        <w:ind w:firstLine="643"/>
        <w:rPr>
          <w:sz w:val="32"/>
          <w:szCs w:val="32"/>
        </w:rPr>
      </w:pPr>
      <w:r w:rsidRPr="00E3693F">
        <w:rPr>
          <w:rFonts w:hint="eastAsia"/>
          <w:b/>
          <w:sz w:val="32"/>
          <w:szCs w:val="32"/>
        </w:rPr>
        <w:t>4.1</w:t>
      </w:r>
      <w:r w:rsidRPr="00E3693F">
        <w:rPr>
          <w:rFonts w:hint="eastAsia"/>
          <w:sz w:val="32"/>
          <w:szCs w:val="32"/>
        </w:rPr>
        <w:t>“北向通”交易的基本流程为：境外投资者通过境外电子交易平台发送交易指令，交易指令传输至交</w:t>
      </w:r>
      <w:proofErr w:type="gramStart"/>
      <w:r w:rsidRPr="00E3693F">
        <w:rPr>
          <w:rFonts w:hint="eastAsia"/>
          <w:sz w:val="32"/>
          <w:szCs w:val="32"/>
        </w:rPr>
        <w:t>易中心</w:t>
      </w:r>
      <w:proofErr w:type="gramEnd"/>
      <w:r w:rsidRPr="00E3693F">
        <w:rPr>
          <w:rFonts w:hint="eastAsia"/>
          <w:sz w:val="32"/>
          <w:szCs w:val="32"/>
        </w:rPr>
        <w:t>系统，最终与交易对手方在交易中心系统达成交易。</w:t>
      </w:r>
    </w:p>
    <w:p w:rsidR="004714AE" w:rsidRPr="00E3693F" w:rsidRDefault="004714AE" w:rsidP="004714AE">
      <w:pPr>
        <w:ind w:firstLine="643"/>
        <w:rPr>
          <w:sz w:val="32"/>
          <w:szCs w:val="32"/>
        </w:rPr>
      </w:pPr>
      <w:r w:rsidRPr="00E3693F">
        <w:rPr>
          <w:b/>
          <w:sz w:val="32"/>
          <w:szCs w:val="32"/>
        </w:rPr>
        <w:t>4.2</w:t>
      </w:r>
      <w:r w:rsidRPr="00E3693F">
        <w:rPr>
          <w:rFonts w:hint="eastAsia"/>
          <w:sz w:val="32"/>
          <w:szCs w:val="32"/>
        </w:rPr>
        <w:t>“北向通”采取请求报价等方式进行交易。经人民银行同意，交易中心可根据市场情况、境外电子交易平台情况调整“北向通”交易方式。</w:t>
      </w:r>
    </w:p>
    <w:p w:rsidR="004714AE" w:rsidRPr="00E3693F" w:rsidRDefault="004714AE" w:rsidP="004714AE">
      <w:pPr>
        <w:ind w:firstLine="643"/>
        <w:rPr>
          <w:sz w:val="32"/>
          <w:szCs w:val="32"/>
        </w:rPr>
      </w:pPr>
      <w:r w:rsidRPr="00E3693F">
        <w:rPr>
          <w:rFonts w:hint="eastAsia"/>
          <w:b/>
          <w:sz w:val="32"/>
          <w:szCs w:val="32"/>
        </w:rPr>
        <w:t>4.3“北向通”请求报价</w:t>
      </w:r>
    </w:p>
    <w:p w:rsidR="004714AE" w:rsidRPr="00E3693F" w:rsidRDefault="004714AE" w:rsidP="004714AE">
      <w:pPr>
        <w:ind w:firstLine="640"/>
        <w:rPr>
          <w:b/>
          <w:sz w:val="32"/>
          <w:szCs w:val="32"/>
        </w:rPr>
      </w:pPr>
      <w:r w:rsidRPr="00E3693F">
        <w:rPr>
          <w:rFonts w:hint="eastAsia"/>
          <w:sz w:val="32"/>
          <w:szCs w:val="32"/>
        </w:rPr>
        <w:t>“北向通”请求报价的基本流程为：境外投资者通过境外电子交易平台向报价机构发送只含量、不含价的报价请求，报价请求实时传输至交</w:t>
      </w:r>
      <w:proofErr w:type="gramStart"/>
      <w:r w:rsidRPr="00E3693F">
        <w:rPr>
          <w:rFonts w:hint="eastAsia"/>
          <w:sz w:val="32"/>
          <w:szCs w:val="32"/>
        </w:rPr>
        <w:t>易中心</w:t>
      </w:r>
      <w:proofErr w:type="gramEnd"/>
      <w:r w:rsidRPr="00E3693F">
        <w:rPr>
          <w:rFonts w:hint="eastAsia"/>
          <w:sz w:val="32"/>
          <w:szCs w:val="32"/>
        </w:rPr>
        <w:t>系统；报价机构通过交易中心系统向境外投资者回复可成交价格；境外投资者确认价格并在交易中心系统达成交易。</w:t>
      </w:r>
    </w:p>
    <w:p w:rsidR="004714AE" w:rsidRPr="00E3693F" w:rsidRDefault="004714AE" w:rsidP="004714AE">
      <w:pPr>
        <w:ind w:firstLine="643"/>
        <w:rPr>
          <w:b/>
          <w:sz w:val="32"/>
          <w:szCs w:val="32"/>
        </w:rPr>
      </w:pPr>
      <w:r w:rsidRPr="00E3693F">
        <w:rPr>
          <w:rFonts w:hint="eastAsia"/>
          <w:b/>
          <w:sz w:val="32"/>
          <w:szCs w:val="32"/>
        </w:rPr>
        <w:t>4.3.1境外投资者发送报价请求</w:t>
      </w:r>
    </w:p>
    <w:p w:rsidR="004714AE" w:rsidRPr="00E3693F" w:rsidRDefault="004714AE" w:rsidP="004714AE">
      <w:pPr>
        <w:ind w:firstLine="640"/>
        <w:rPr>
          <w:sz w:val="32"/>
          <w:szCs w:val="32"/>
        </w:rPr>
      </w:pPr>
      <w:r w:rsidRPr="00E3693F">
        <w:rPr>
          <w:rFonts w:hint="eastAsia"/>
          <w:sz w:val="32"/>
          <w:szCs w:val="32"/>
        </w:rPr>
        <w:t>（1）境外投资者可向一家或多家报价机构发送报价请求，报价请求的交易要素包括：交易方向、债券代码、券面总额、请求有效时间、清算速度等。</w:t>
      </w:r>
    </w:p>
    <w:p w:rsidR="004714AE" w:rsidRPr="00E3693F" w:rsidRDefault="004714AE" w:rsidP="004714AE">
      <w:pPr>
        <w:ind w:firstLine="640"/>
        <w:rPr>
          <w:sz w:val="32"/>
          <w:szCs w:val="32"/>
        </w:rPr>
      </w:pPr>
      <w:r w:rsidRPr="00E3693F">
        <w:rPr>
          <w:rFonts w:hint="eastAsia"/>
          <w:sz w:val="32"/>
          <w:szCs w:val="32"/>
        </w:rPr>
        <w:t>（2）境外投资者可设定请求有效时间，最长为1个小时。请求报价流程时间超过请求有效时间，交易自动终止。</w:t>
      </w:r>
    </w:p>
    <w:p w:rsidR="004714AE" w:rsidRPr="00E3693F" w:rsidRDefault="004714AE" w:rsidP="004714AE">
      <w:pPr>
        <w:adjustRightInd w:val="0"/>
        <w:snapToGrid w:val="0"/>
        <w:ind w:firstLine="640"/>
        <w:rPr>
          <w:sz w:val="32"/>
          <w:szCs w:val="32"/>
        </w:rPr>
      </w:pPr>
      <w:r w:rsidRPr="00E3693F">
        <w:rPr>
          <w:rFonts w:hint="eastAsia"/>
          <w:sz w:val="32"/>
          <w:szCs w:val="32"/>
        </w:rPr>
        <w:lastRenderedPageBreak/>
        <w:t>（3）境外投资者发送报价请求的请求量最低为100万元人民币，最小变动单位为100万元人民币。</w:t>
      </w:r>
    </w:p>
    <w:p w:rsidR="004714AE" w:rsidRPr="00E3693F" w:rsidRDefault="004714AE" w:rsidP="004714AE">
      <w:pPr>
        <w:adjustRightInd w:val="0"/>
        <w:snapToGrid w:val="0"/>
        <w:ind w:firstLine="643"/>
        <w:rPr>
          <w:b/>
          <w:sz w:val="32"/>
          <w:szCs w:val="32"/>
        </w:rPr>
      </w:pPr>
      <w:r w:rsidRPr="00E3693F">
        <w:rPr>
          <w:rFonts w:hint="eastAsia"/>
          <w:b/>
          <w:sz w:val="32"/>
          <w:szCs w:val="32"/>
        </w:rPr>
        <w:t>4.3.2报价机构进行报价回复</w:t>
      </w:r>
    </w:p>
    <w:p w:rsidR="004714AE" w:rsidRPr="00E3693F" w:rsidRDefault="004714AE" w:rsidP="004714AE">
      <w:pPr>
        <w:ind w:firstLine="640"/>
        <w:rPr>
          <w:sz w:val="32"/>
          <w:szCs w:val="32"/>
        </w:rPr>
      </w:pPr>
      <w:r w:rsidRPr="00E3693F">
        <w:rPr>
          <w:rFonts w:hint="eastAsia"/>
          <w:sz w:val="32"/>
          <w:szCs w:val="32"/>
        </w:rPr>
        <w:t>（1）报价机构应尽力以合理价格及时回复境外投资者的报价请求。</w:t>
      </w:r>
    </w:p>
    <w:p w:rsidR="004714AE" w:rsidRPr="00E3693F" w:rsidRDefault="004714AE" w:rsidP="004714AE">
      <w:pPr>
        <w:adjustRightInd w:val="0"/>
        <w:snapToGrid w:val="0"/>
        <w:ind w:firstLine="640"/>
        <w:rPr>
          <w:sz w:val="32"/>
          <w:szCs w:val="32"/>
        </w:rPr>
      </w:pPr>
      <w:r w:rsidRPr="00E3693F">
        <w:rPr>
          <w:rFonts w:hint="eastAsia"/>
          <w:sz w:val="32"/>
          <w:szCs w:val="32"/>
        </w:rPr>
        <w:t>（2）对于收到的报价请求，报价机构可提交具名、全量并带有净价、到期收益率、回复有效时间等交易要素的报价回复，也可选择拒绝回复。</w:t>
      </w:r>
    </w:p>
    <w:p w:rsidR="004714AE" w:rsidRPr="00E3693F" w:rsidRDefault="004714AE" w:rsidP="004714AE">
      <w:pPr>
        <w:adjustRightInd w:val="0"/>
        <w:snapToGrid w:val="0"/>
        <w:ind w:firstLine="640"/>
        <w:rPr>
          <w:sz w:val="32"/>
          <w:szCs w:val="32"/>
        </w:rPr>
      </w:pPr>
      <w:r w:rsidRPr="00E3693F">
        <w:rPr>
          <w:rFonts w:hint="eastAsia"/>
          <w:sz w:val="32"/>
          <w:szCs w:val="32"/>
        </w:rPr>
        <w:t>（3）报价机构应在境外投资者设定的请求有效时间内进行报价回复，并可在请求有效时间的范围内设定回复有效时间。</w:t>
      </w:r>
    </w:p>
    <w:p w:rsidR="004714AE" w:rsidRPr="00E3693F" w:rsidRDefault="004714AE" w:rsidP="004714AE">
      <w:pPr>
        <w:adjustRightInd w:val="0"/>
        <w:snapToGrid w:val="0"/>
        <w:ind w:firstLine="640"/>
        <w:rPr>
          <w:sz w:val="32"/>
          <w:szCs w:val="32"/>
        </w:rPr>
      </w:pPr>
      <w:r w:rsidRPr="00E3693F">
        <w:rPr>
          <w:rFonts w:hint="eastAsia"/>
          <w:sz w:val="32"/>
          <w:szCs w:val="32"/>
        </w:rPr>
        <w:t>（4）报价机构可拒绝、撤销或修改已提交且境外投资者未确认的报价回复。</w:t>
      </w:r>
    </w:p>
    <w:p w:rsidR="004714AE" w:rsidRPr="00E3693F" w:rsidRDefault="004714AE" w:rsidP="004714AE">
      <w:pPr>
        <w:ind w:firstLine="643"/>
        <w:rPr>
          <w:b/>
          <w:sz w:val="32"/>
          <w:szCs w:val="32"/>
        </w:rPr>
      </w:pPr>
      <w:r w:rsidRPr="00E3693F">
        <w:rPr>
          <w:rFonts w:hint="eastAsia"/>
          <w:b/>
          <w:sz w:val="32"/>
          <w:szCs w:val="32"/>
        </w:rPr>
        <w:t>4.3.3境外投资者确认成交</w:t>
      </w:r>
    </w:p>
    <w:p w:rsidR="004714AE" w:rsidRPr="00E3693F" w:rsidRDefault="004714AE" w:rsidP="004714AE">
      <w:pPr>
        <w:adjustRightInd w:val="0"/>
        <w:snapToGrid w:val="0"/>
        <w:ind w:firstLine="640"/>
        <w:rPr>
          <w:sz w:val="32"/>
          <w:szCs w:val="32"/>
        </w:rPr>
      </w:pPr>
      <w:r w:rsidRPr="00E3693F">
        <w:rPr>
          <w:rFonts w:hint="eastAsia"/>
          <w:sz w:val="32"/>
          <w:szCs w:val="32"/>
        </w:rPr>
        <w:t>对于收到的报价回复，境外投资者可在报价机构设置的回复有效时间内，选择一笔确认成交，其他报价回复自动失效。</w:t>
      </w:r>
    </w:p>
    <w:p w:rsidR="004714AE" w:rsidRPr="00E3693F" w:rsidRDefault="004714AE" w:rsidP="004714AE">
      <w:pPr>
        <w:ind w:firstLine="643"/>
        <w:rPr>
          <w:b/>
          <w:sz w:val="32"/>
          <w:szCs w:val="32"/>
        </w:rPr>
      </w:pPr>
      <w:r w:rsidRPr="00E3693F">
        <w:rPr>
          <w:rFonts w:hint="eastAsia"/>
          <w:b/>
          <w:sz w:val="32"/>
          <w:szCs w:val="32"/>
        </w:rPr>
        <w:t>4.3.4交易达成</w:t>
      </w:r>
    </w:p>
    <w:p w:rsidR="004714AE" w:rsidRPr="00E3693F" w:rsidRDefault="004714AE" w:rsidP="004714AE">
      <w:pPr>
        <w:ind w:firstLine="640"/>
        <w:rPr>
          <w:sz w:val="32"/>
          <w:szCs w:val="32"/>
        </w:rPr>
      </w:pPr>
      <w:r w:rsidRPr="00E3693F">
        <w:rPr>
          <w:rFonts w:hint="eastAsia"/>
          <w:sz w:val="32"/>
          <w:szCs w:val="32"/>
        </w:rPr>
        <w:t>境外投资者确认成交后，交易中心交易系统生成成交单。报价机构、境外投资者、债券登记托管结算机构根据成交信息办理结算。</w:t>
      </w:r>
    </w:p>
    <w:p w:rsidR="004714AE" w:rsidRPr="00E3693F" w:rsidRDefault="004714AE" w:rsidP="004714AE">
      <w:pPr>
        <w:ind w:firstLine="643"/>
        <w:rPr>
          <w:sz w:val="32"/>
          <w:szCs w:val="32"/>
        </w:rPr>
      </w:pPr>
      <w:r w:rsidRPr="00E3693F">
        <w:rPr>
          <w:rFonts w:hint="eastAsia"/>
          <w:b/>
          <w:sz w:val="32"/>
          <w:szCs w:val="32"/>
        </w:rPr>
        <w:t>4.4</w:t>
      </w:r>
      <w:r w:rsidRPr="00E3693F">
        <w:rPr>
          <w:sz w:val="32"/>
          <w:szCs w:val="32"/>
        </w:rPr>
        <w:t>境外投资者委托结算代理人代其交易的</w:t>
      </w:r>
      <w:r w:rsidRPr="00E3693F">
        <w:rPr>
          <w:rFonts w:hint="eastAsia"/>
          <w:sz w:val="32"/>
          <w:szCs w:val="32"/>
        </w:rPr>
        <w:t>，</w:t>
      </w:r>
      <w:r w:rsidRPr="00E3693F">
        <w:rPr>
          <w:sz w:val="32"/>
          <w:szCs w:val="32"/>
        </w:rPr>
        <w:t>按照交易中心现行交易规则执行</w:t>
      </w:r>
      <w:r w:rsidRPr="00E3693F">
        <w:rPr>
          <w:rFonts w:hint="eastAsia"/>
          <w:sz w:val="32"/>
          <w:szCs w:val="32"/>
        </w:rPr>
        <w:t>。</w:t>
      </w:r>
    </w:p>
    <w:p w:rsidR="00DE2A65" w:rsidRPr="00E3693F" w:rsidRDefault="00DE2A65" w:rsidP="00DE2A65">
      <w:pPr>
        <w:ind w:firstLine="640"/>
        <w:rPr>
          <w:sz w:val="32"/>
          <w:szCs w:val="32"/>
        </w:rPr>
      </w:pPr>
    </w:p>
    <w:p w:rsidR="004714AE" w:rsidRPr="00E3693F" w:rsidRDefault="004714AE" w:rsidP="004714AE">
      <w:pPr>
        <w:pStyle w:val="1"/>
        <w:ind w:firstLine="640"/>
        <w:jc w:val="center"/>
        <w:rPr>
          <w:rFonts w:ascii="黑体" w:eastAsia="黑体" w:hAnsi="黑体"/>
          <w:sz w:val="32"/>
          <w:szCs w:val="32"/>
        </w:rPr>
      </w:pPr>
      <w:r w:rsidRPr="00E3693F">
        <w:rPr>
          <w:rFonts w:ascii="黑体" w:eastAsia="黑体" w:hAnsi="黑体" w:hint="eastAsia"/>
          <w:sz w:val="32"/>
          <w:szCs w:val="32"/>
        </w:rPr>
        <w:lastRenderedPageBreak/>
        <w:t>第五章 市场监测、处置与信息披露</w:t>
      </w:r>
    </w:p>
    <w:p w:rsidR="004714AE" w:rsidRPr="00E3693F" w:rsidRDefault="004714AE" w:rsidP="004714AE">
      <w:pPr>
        <w:tabs>
          <w:tab w:val="left" w:pos="1701"/>
          <w:tab w:val="left" w:pos="1985"/>
          <w:tab w:val="left" w:pos="2268"/>
        </w:tabs>
        <w:ind w:rightChars="-27" w:right="-81" w:firstLine="643"/>
        <w:rPr>
          <w:sz w:val="32"/>
          <w:szCs w:val="32"/>
        </w:rPr>
      </w:pPr>
      <w:r w:rsidRPr="00E3693F">
        <w:rPr>
          <w:b/>
          <w:sz w:val="32"/>
          <w:szCs w:val="32"/>
        </w:rPr>
        <w:t>5.</w:t>
      </w:r>
      <w:r w:rsidRPr="00E3693F">
        <w:rPr>
          <w:rFonts w:hint="eastAsia"/>
          <w:b/>
          <w:sz w:val="32"/>
          <w:szCs w:val="32"/>
        </w:rPr>
        <w:t>1</w:t>
      </w:r>
      <w:r w:rsidRPr="00E3693F">
        <w:rPr>
          <w:rFonts w:hint="eastAsia"/>
          <w:sz w:val="32"/>
          <w:szCs w:val="32"/>
        </w:rPr>
        <w:t>“北向通”投资者交易及信息披露行为违反或可能违反本规则及银行间债券市场相关规定的，交易中心可进行调查。</w:t>
      </w:r>
    </w:p>
    <w:p w:rsidR="004714AE" w:rsidRPr="00E3693F" w:rsidRDefault="004714AE" w:rsidP="004714AE">
      <w:pPr>
        <w:tabs>
          <w:tab w:val="left" w:pos="1701"/>
          <w:tab w:val="left" w:pos="1985"/>
          <w:tab w:val="left" w:pos="2268"/>
        </w:tabs>
        <w:ind w:rightChars="-27" w:right="-81" w:firstLine="640"/>
        <w:rPr>
          <w:sz w:val="32"/>
          <w:szCs w:val="32"/>
        </w:rPr>
      </w:pPr>
      <w:r w:rsidRPr="00E3693F">
        <w:rPr>
          <w:rFonts w:hint="eastAsia"/>
          <w:sz w:val="32"/>
          <w:szCs w:val="32"/>
        </w:rPr>
        <w:t>交易中心可直接向“北向通”投资者了解情况，也可授权“北向通”交易服务机构向境外投资者了解情况。“北向通”投资者、境外电子交易平台、“北向通”交易服务机构等应配合交易中心调查，并根据要求向交易中心提供相关资料及证明文件。</w:t>
      </w:r>
    </w:p>
    <w:p w:rsidR="004714AE" w:rsidRPr="00E3693F" w:rsidRDefault="004714AE" w:rsidP="004714AE">
      <w:pPr>
        <w:tabs>
          <w:tab w:val="left" w:pos="1701"/>
          <w:tab w:val="left" w:pos="1985"/>
          <w:tab w:val="left" w:pos="2268"/>
        </w:tabs>
        <w:ind w:rightChars="-27" w:right="-81" w:firstLine="643"/>
        <w:rPr>
          <w:sz w:val="32"/>
          <w:szCs w:val="32"/>
        </w:rPr>
      </w:pPr>
      <w:r w:rsidRPr="00E3693F">
        <w:rPr>
          <w:b/>
          <w:sz w:val="32"/>
          <w:szCs w:val="32"/>
        </w:rPr>
        <w:t>5.</w:t>
      </w:r>
      <w:r w:rsidRPr="00E3693F">
        <w:rPr>
          <w:rFonts w:hint="eastAsia"/>
          <w:b/>
          <w:sz w:val="32"/>
          <w:szCs w:val="32"/>
        </w:rPr>
        <w:t>2</w:t>
      </w:r>
      <w:r w:rsidRPr="00E3693F">
        <w:rPr>
          <w:rFonts w:hint="eastAsia"/>
          <w:sz w:val="32"/>
          <w:szCs w:val="32"/>
        </w:rPr>
        <w:t>交易中心根据《债券交易规则》等业务规则，对“北向通”以下异常交易行为进行重点监测：</w:t>
      </w:r>
    </w:p>
    <w:p w:rsidR="004714AE" w:rsidRPr="00E3693F" w:rsidRDefault="004714AE" w:rsidP="004714AE">
      <w:pPr>
        <w:ind w:firstLine="640"/>
        <w:rPr>
          <w:sz w:val="32"/>
          <w:szCs w:val="32"/>
        </w:rPr>
      </w:pPr>
      <w:r w:rsidRPr="00E3693F">
        <w:rPr>
          <w:rFonts w:hint="eastAsia"/>
          <w:sz w:val="32"/>
          <w:szCs w:val="32"/>
        </w:rPr>
        <w:t>（1）频繁发送不反映真实交易意向的报价量；</w:t>
      </w:r>
    </w:p>
    <w:p w:rsidR="004714AE" w:rsidRPr="00E3693F" w:rsidRDefault="004714AE" w:rsidP="004714AE">
      <w:pPr>
        <w:ind w:firstLine="640"/>
        <w:rPr>
          <w:sz w:val="32"/>
          <w:szCs w:val="32"/>
        </w:rPr>
      </w:pPr>
      <w:r w:rsidRPr="00E3693F">
        <w:rPr>
          <w:rFonts w:hint="eastAsia"/>
          <w:sz w:val="32"/>
          <w:szCs w:val="32"/>
        </w:rPr>
        <w:t>（2）报价回复价格、成交价格严重偏离市场公允价格；</w:t>
      </w:r>
    </w:p>
    <w:p w:rsidR="004714AE" w:rsidRPr="00E3693F" w:rsidRDefault="004714AE" w:rsidP="004714AE">
      <w:pPr>
        <w:ind w:firstLine="640"/>
        <w:rPr>
          <w:sz w:val="32"/>
          <w:szCs w:val="32"/>
        </w:rPr>
      </w:pPr>
      <w:r w:rsidRPr="00E3693F">
        <w:rPr>
          <w:rFonts w:hint="eastAsia"/>
          <w:sz w:val="32"/>
          <w:szCs w:val="32"/>
        </w:rPr>
        <w:t>（3）以任何形式操纵市场、进行内幕交易，扰乱市场秩序；</w:t>
      </w:r>
    </w:p>
    <w:p w:rsidR="004714AE" w:rsidRPr="00E3693F" w:rsidRDefault="004714AE" w:rsidP="004714AE">
      <w:pPr>
        <w:ind w:firstLine="640"/>
        <w:rPr>
          <w:sz w:val="32"/>
          <w:szCs w:val="32"/>
        </w:rPr>
      </w:pPr>
      <w:r w:rsidRPr="00E3693F">
        <w:rPr>
          <w:rFonts w:hint="eastAsia"/>
          <w:sz w:val="32"/>
          <w:szCs w:val="32"/>
        </w:rPr>
        <w:t>（4）未按成交信息履行结算义务，多次出现结算失败；</w:t>
      </w:r>
    </w:p>
    <w:p w:rsidR="004714AE" w:rsidRPr="00E3693F" w:rsidRDefault="004714AE" w:rsidP="004714AE">
      <w:pPr>
        <w:ind w:firstLine="640"/>
        <w:rPr>
          <w:sz w:val="32"/>
          <w:szCs w:val="32"/>
        </w:rPr>
      </w:pPr>
      <w:r w:rsidRPr="00E3693F">
        <w:rPr>
          <w:rFonts w:hint="eastAsia"/>
          <w:sz w:val="32"/>
          <w:szCs w:val="32"/>
        </w:rPr>
        <w:t>（5）人民银行、交易中心认定的其他违规行为。</w:t>
      </w:r>
    </w:p>
    <w:p w:rsidR="004714AE" w:rsidRPr="00E3693F" w:rsidRDefault="004714AE" w:rsidP="004714AE">
      <w:pPr>
        <w:tabs>
          <w:tab w:val="left" w:pos="1701"/>
          <w:tab w:val="left" w:pos="1985"/>
          <w:tab w:val="left" w:pos="2268"/>
        </w:tabs>
        <w:ind w:rightChars="-27" w:right="-81" w:firstLine="640"/>
        <w:rPr>
          <w:sz w:val="32"/>
          <w:szCs w:val="32"/>
        </w:rPr>
      </w:pPr>
      <w:r w:rsidRPr="00E3693F">
        <w:rPr>
          <w:rFonts w:hint="eastAsia"/>
          <w:sz w:val="32"/>
          <w:szCs w:val="32"/>
        </w:rPr>
        <w:t>“北向通”投资者发生上述异常交易情形的，交易中心视情节轻重采取口头或书面警告、通报批评、公开谴责、暂停或取消“北向通”交易权限等措施。</w:t>
      </w:r>
    </w:p>
    <w:p w:rsidR="004714AE" w:rsidRPr="00E3693F" w:rsidRDefault="004714AE" w:rsidP="004714AE">
      <w:pPr>
        <w:tabs>
          <w:tab w:val="left" w:pos="1701"/>
          <w:tab w:val="left" w:pos="1985"/>
          <w:tab w:val="left" w:pos="2268"/>
        </w:tabs>
        <w:ind w:rightChars="-27" w:right="-81" w:firstLine="643"/>
        <w:rPr>
          <w:sz w:val="32"/>
          <w:szCs w:val="32"/>
        </w:rPr>
      </w:pPr>
      <w:r w:rsidRPr="00E3693F">
        <w:rPr>
          <w:rFonts w:hint="eastAsia"/>
          <w:b/>
          <w:sz w:val="32"/>
          <w:szCs w:val="32"/>
        </w:rPr>
        <w:t>5.3</w:t>
      </w:r>
      <w:r w:rsidRPr="00E3693F">
        <w:rPr>
          <w:rFonts w:hint="eastAsia"/>
          <w:sz w:val="32"/>
          <w:szCs w:val="32"/>
        </w:rPr>
        <w:t>“北向通”交易双方交易达成后如出现结算失败情形，应及时向交易中心提交结算失败说明。境外投资者可通过“北向通”交易服务机构提交。</w:t>
      </w:r>
    </w:p>
    <w:p w:rsidR="004714AE" w:rsidRPr="00E3693F" w:rsidRDefault="004714AE" w:rsidP="00952040">
      <w:pPr>
        <w:pStyle w:val="a6"/>
        <w:widowControl w:val="0"/>
        <w:shd w:val="clear" w:color="auto" w:fill="FFFFFF"/>
        <w:spacing w:before="0" w:beforeAutospacing="0" w:after="0" w:afterAutospacing="0" w:line="560" w:lineRule="exact"/>
        <w:ind w:firstLineChars="200" w:firstLine="643"/>
        <w:jc w:val="both"/>
        <w:rPr>
          <w:rFonts w:ascii="仿宋_GB2312" w:eastAsia="仿宋_GB2312" w:hAnsi="仿宋_GB2312" w:cs="仿宋_GB2312"/>
          <w:kern w:val="2"/>
          <w:sz w:val="32"/>
          <w:szCs w:val="32"/>
        </w:rPr>
      </w:pPr>
      <w:r w:rsidRPr="00E3693F">
        <w:rPr>
          <w:rFonts w:ascii="仿宋_GB2312" w:eastAsia="仿宋_GB2312" w:hAnsi="仿宋_GB2312" w:cs="仿宋_GB2312"/>
          <w:b/>
          <w:kern w:val="2"/>
          <w:sz w:val="32"/>
          <w:szCs w:val="32"/>
        </w:rPr>
        <w:t>5.</w:t>
      </w:r>
      <w:r w:rsidRPr="00E3693F">
        <w:rPr>
          <w:rFonts w:ascii="仿宋_GB2312" w:eastAsia="仿宋_GB2312" w:hAnsi="仿宋_GB2312" w:cs="仿宋_GB2312" w:hint="eastAsia"/>
          <w:b/>
          <w:kern w:val="2"/>
          <w:sz w:val="32"/>
          <w:szCs w:val="32"/>
        </w:rPr>
        <w:t>4</w:t>
      </w:r>
      <w:r w:rsidRPr="00E3693F">
        <w:rPr>
          <w:rFonts w:ascii="仿宋_GB2312" w:eastAsia="仿宋_GB2312" w:hAnsi="仿宋_GB2312" w:cs="仿宋_GB2312" w:hint="eastAsia"/>
          <w:kern w:val="2"/>
          <w:sz w:val="32"/>
          <w:szCs w:val="32"/>
        </w:rPr>
        <w:t>出现《流通规则》规定需进行信息披露的关联交易</w:t>
      </w:r>
      <w:r w:rsidRPr="00E3693F">
        <w:rPr>
          <w:rFonts w:ascii="仿宋_GB2312" w:eastAsia="仿宋_GB2312" w:hAnsi="仿宋_GB2312" w:cs="仿宋_GB2312" w:hint="eastAsia"/>
          <w:kern w:val="2"/>
          <w:sz w:val="32"/>
          <w:szCs w:val="32"/>
        </w:rPr>
        <w:lastRenderedPageBreak/>
        <w:t>等特定交易行为情形，交易双方应及时通过交易中心进行信息披露。“北向通”交易服务机构应为境外投资者信息披露相关操作提供必要的指引。境外投资者需提交相关材料的，由“北向通”交易服务机构代为提交至交易中心。</w:t>
      </w:r>
    </w:p>
    <w:p w:rsidR="004714AE" w:rsidRPr="00E3693F" w:rsidRDefault="004714AE" w:rsidP="004714AE">
      <w:pPr>
        <w:ind w:firstLine="643"/>
        <w:rPr>
          <w:sz w:val="32"/>
          <w:szCs w:val="32"/>
        </w:rPr>
      </w:pPr>
      <w:r w:rsidRPr="00E3693F">
        <w:rPr>
          <w:b/>
          <w:sz w:val="32"/>
          <w:szCs w:val="32"/>
        </w:rPr>
        <w:t>5.</w:t>
      </w:r>
      <w:r w:rsidRPr="00E3693F">
        <w:rPr>
          <w:rFonts w:hint="eastAsia"/>
          <w:b/>
          <w:sz w:val="32"/>
          <w:szCs w:val="32"/>
        </w:rPr>
        <w:t>5</w:t>
      </w:r>
      <w:r w:rsidRPr="00E3693F">
        <w:rPr>
          <w:rFonts w:hint="eastAsia"/>
          <w:sz w:val="32"/>
          <w:szCs w:val="32"/>
        </w:rPr>
        <w:t>“北向通”投资者、“北向通”交易服务机构、境外电子交易平台等应积极配合交易中心开展相关工作。</w:t>
      </w:r>
    </w:p>
    <w:p w:rsidR="004714AE" w:rsidRPr="00E3693F" w:rsidRDefault="004714AE" w:rsidP="004714AE">
      <w:pPr>
        <w:ind w:firstLine="640"/>
        <w:rPr>
          <w:sz w:val="32"/>
          <w:szCs w:val="32"/>
        </w:rPr>
      </w:pPr>
    </w:p>
    <w:p w:rsidR="004714AE" w:rsidRPr="00E3693F" w:rsidRDefault="004714AE" w:rsidP="004714AE">
      <w:pPr>
        <w:pStyle w:val="1"/>
        <w:ind w:firstLine="640"/>
        <w:jc w:val="center"/>
        <w:rPr>
          <w:rFonts w:ascii="黑体" w:eastAsia="黑体" w:hAnsi="黑体"/>
          <w:sz w:val="32"/>
          <w:szCs w:val="32"/>
        </w:rPr>
      </w:pPr>
      <w:r w:rsidRPr="00E3693F">
        <w:rPr>
          <w:rFonts w:ascii="黑体" w:eastAsia="黑体" w:hAnsi="黑体" w:hint="eastAsia"/>
          <w:sz w:val="32"/>
          <w:szCs w:val="32"/>
        </w:rPr>
        <w:t>第六章 附则</w:t>
      </w:r>
    </w:p>
    <w:p w:rsidR="004714AE" w:rsidRPr="00E3693F" w:rsidRDefault="004714AE" w:rsidP="004714AE">
      <w:pPr>
        <w:ind w:firstLine="643"/>
        <w:rPr>
          <w:sz w:val="32"/>
          <w:szCs w:val="32"/>
        </w:rPr>
      </w:pPr>
      <w:r w:rsidRPr="00E3693F">
        <w:rPr>
          <w:rFonts w:hint="eastAsia"/>
          <w:b/>
          <w:sz w:val="32"/>
          <w:szCs w:val="32"/>
        </w:rPr>
        <w:t>6.1</w:t>
      </w:r>
      <w:r w:rsidRPr="00E3693F">
        <w:rPr>
          <w:rFonts w:hint="eastAsia"/>
          <w:sz w:val="32"/>
          <w:szCs w:val="32"/>
        </w:rPr>
        <w:t>本规则以及交易要素、成交单内容等交易相关信息以中文为准。</w:t>
      </w:r>
    </w:p>
    <w:p w:rsidR="004714AE" w:rsidRPr="00E3693F" w:rsidRDefault="004714AE" w:rsidP="004714AE">
      <w:pPr>
        <w:ind w:firstLine="643"/>
        <w:rPr>
          <w:sz w:val="32"/>
          <w:szCs w:val="32"/>
        </w:rPr>
      </w:pPr>
      <w:r w:rsidRPr="00E3693F">
        <w:rPr>
          <w:b/>
          <w:sz w:val="32"/>
          <w:szCs w:val="32"/>
        </w:rPr>
        <w:t>6.2</w:t>
      </w:r>
      <w:r w:rsidRPr="00E3693F">
        <w:rPr>
          <w:rFonts w:hint="eastAsia"/>
          <w:sz w:val="32"/>
          <w:szCs w:val="32"/>
        </w:rPr>
        <w:t>交易相关数据以交易中心系统记录的数据为准。交易中心对其系统中产生的任何信息、数据具有完全的知识产权。</w:t>
      </w:r>
    </w:p>
    <w:p w:rsidR="004714AE" w:rsidRPr="00E3693F" w:rsidRDefault="004714AE" w:rsidP="004714AE">
      <w:pPr>
        <w:ind w:firstLine="643"/>
        <w:rPr>
          <w:sz w:val="32"/>
          <w:szCs w:val="32"/>
        </w:rPr>
      </w:pPr>
      <w:r w:rsidRPr="00E3693F">
        <w:rPr>
          <w:rFonts w:hint="eastAsia"/>
          <w:b/>
          <w:sz w:val="32"/>
          <w:szCs w:val="32"/>
        </w:rPr>
        <w:t>6.3</w:t>
      </w:r>
      <w:r w:rsidRPr="00E3693F">
        <w:rPr>
          <w:rFonts w:hint="eastAsia"/>
          <w:sz w:val="32"/>
          <w:szCs w:val="32"/>
        </w:rPr>
        <w:t>本规则由交易中心负责解释和修订。</w:t>
      </w:r>
    </w:p>
    <w:p w:rsidR="004714AE" w:rsidRPr="00E3693F" w:rsidRDefault="004714AE" w:rsidP="004714AE">
      <w:pPr>
        <w:ind w:firstLine="643"/>
        <w:rPr>
          <w:sz w:val="32"/>
          <w:szCs w:val="32"/>
        </w:rPr>
      </w:pPr>
      <w:r w:rsidRPr="00E3693F">
        <w:rPr>
          <w:rFonts w:hint="eastAsia"/>
          <w:b/>
          <w:sz w:val="32"/>
          <w:szCs w:val="32"/>
        </w:rPr>
        <w:t>6.4</w:t>
      </w:r>
      <w:r w:rsidRPr="00E3693F">
        <w:rPr>
          <w:rFonts w:hint="eastAsia"/>
          <w:sz w:val="32"/>
          <w:szCs w:val="32"/>
        </w:rPr>
        <w:t>本规则自发布之日起实施。</w:t>
      </w:r>
    </w:p>
    <w:p w:rsidR="004714AE" w:rsidRPr="00E3693F" w:rsidRDefault="004714AE" w:rsidP="007D6F1A">
      <w:pPr>
        <w:ind w:firstLine="600"/>
      </w:pPr>
    </w:p>
    <w:sectPr w:rsidR="004714AE" w:rsidRPr="00E3693F" w:rsidSect="006408D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A4E" w:rsidRDefault="00700A4E" w:rsidP="001B0D93">
      <w:pPr>
        <w:spacing w:line="240" w:lineRule="auto"/>
        <w:ind w:firstLine="600"/>
      </w:pPr>
      <w:r>
        <w:separator/>
      </w:r>
    </w:p>
  </w:endnote>
  <w:endnote w:type="continuationSeparator" w:id="0">
    <w:p w:rsidR="00700A4E" w:rsidRDefault="00700A4E" w:rsidP="001B0D93">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93" w:rsidRDefault="001B0D93" w:rsidP="001B0D9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522114"/>
      <w:docPartObj>
        <w:docPartGallery w:val="Page Numbers (Bottom of Page)"/>
        <w:docPartUnique/>
      </w:docPartObj>
    </w:sdtPr>
    <w:sdtEndPr/>
    <w:sdtContent>
      <w:p w:rsidR="0024386F" w:rsidRDefault="0024386F" w:rsidP="0024386F">
        <w:pPr>
          <w:pStyle w:val="a4"/>
          <w:ind w:firstLine="360"/>
          <w:jc w:val="center"/>
        </w:pPr>
        <w:r>
          <w:fldChar w:fldCharType="begin"/>
        </w:r>
        <w:r>
          <w:instrText>PAGE   \* MERGEFORMAT</w:instrText>
        </w:r>
        <w:r>
          <w:fldChar w:fldCharType="separate"/>
        </w:r>
        <w:r w:rsidR="00E3693F" w:rsidRPr="00E3693F">
          <w:rPr>
            <w:noProof/>
            <w:lang w:val="zh-CN"/>
          </w:rPr>
          <w:t>-</w:t>
        </w:r>
        <w:r w:rsidR="00E3693F">
          <w:rPr>
            <w:noProof/>
          </w:rPr>
          <w:t xml:space="preserve"> 7 -</w:t>
        </w:r>
        <w:r>
          <w:fldChar w:fldCharType="end"/>
        </w:r>
      </w:p>
    </w:sdtContent>
  </w:sdt>
  <w:p w:rsidR="001B0D93" w:rsidRDefault="001B0D93" w:rsidP="001B0D9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93" w:rsidRDefault="001B0D93" w:rsidP="001B0D9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A4E" w:rsidRDefault="00700A4E" w:rsidP="001B0D93">
      <w:pPr>
        <w:spacing w:line="240" w:lineRule="auto"/>
        <w:ind w:firstLine="600"/>
      </w:pPr>
      <w:r>
        <w:separator/>
      </w:r>
    </w:p>
  </w:footnote>
  <w:footnote w:type="continuationSeparator" w:id="0">
    <w:p w:rsidR="00700A4E" w:rsidRDefault="00700A4E" w:rsidP="001B0D93">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93" w:rsidRDefault="001B0D93" w:rsidP="001B0D9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93" w:rsidRPr="00A57A73" w:rsidRDefault="001B0D93" w:rsidP="00A57A73">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93" w:rsidRDefault="001B0D93" w:rsidP="001B0D9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75F"/>
    <w:rsid w:val="00000CC5"/>
    <w:rsid w:val="00001191"/>
    <w:rsid w:val="00001B91"/>
    <w:rsid w:val="00005951"/>
    <w:rsid w:val="00005FBF"/>
    <w:rsid w:val="00006FA3"/>
    <w:rsid w:val="0001027F"/>
    <w:rsid w:val="000173E7"/>
    <w:rsid w:val="00017B25"/>
    <w:rsid w:val="000201B7"/>
    <w:rsid w:val="000221FE"/>
    <w:rsid w:val="00023B90"/>
    <w:rsid w:val="00024704"/>
    <w:rsid w:val="00024861"/>
    <w:rsid w:val="00025A49"/>
    <w:rsid w:val="00031017"/>
    <w:rsid w:val="0003159D"/>
    <w:rsid w:val="00031D66"/>
    <w:rsid w:val="00031E70"/>
    <w:rsid w:val="000320FD"/>
    <w:rsid w:val="000338A6"/>
    <w:rsid w:val="00034582"/>
    <w:rsid w:val="000350F6"/>
    <w:rsid w:val="000377A2"/>
    <w:rsid w:val="000407B2"/>
    <w:rsid w:val="00041EC0"/>
    <w:rsid w:val="00042BCE"/>
    <w:rsid w:val="00044EEF"/>
    <w:rsid w:val="0005086F"/>
    <w:rsid w:val="00061572"/>
    <w:rsid w:val="00061868"/>
    <w:rsid w:val="00061A53"/>
    <w:rsid w:val="0006449B"/>
    <w:rsid w:val="00066D85"/>
    <w:rsid w:val="000716E2"/>
    <w:rsid w:val="00073743"/>
    <w:rsid w:val="000739EA"/>
    <w:rsid w:val="00077612"/>
    <w:rsid w:val="00081E90"/>
    <w:rsid w:val="00084DA5"/>
    <w:rsid w:val="000878A4"/>
    <w:rsid w:val="000914F6"/>
    <w:rsid w:val="000920B9"/>
    <w:rsid w:val="000926AE"/>
    <w:rsid w:val="00093F7D"/>
    <w:rsid w:val="00094D58"/>
    <w:rsid w:val="00095B5C"/>
    <w:rsid w:val="00097F1E"/>
    <w:rsid w:val="000A0ADC"/>
    <w:rsid w:val="000A5C48"/>
    <w:rsid w:val="000A6FD0"/>
    <w:rsid w:val="000A7AE4"/>
    <w:rsid w:val="000B1B02"/>
    <w:rsid w:val="000B1F7A"/>
    <w:rsid w:val="000B5808"/>
    <w:rsid w:val="000C1C58"/>
    <w:rsid w:val="000C49CC"/>
    <w:rsid w:val="000C628D"/>
    <w:rsid w:val="000C66E6"/>
    <w:rsid w:val="000D0FAA"/>
    <w:rsid w:val="000D1D5B"/>
    <w:rsid w:val="000D2A18"/>
    <w:rsid w:val="000D38E4"/>
    <w:rsid w:val="000D4C37"/>
    <w:rsid w:val="000D52F6"/>
    <w:rsid w:val="000E0D3F"/>
    <w:rsid w:val="000E58BF"/>
    <w:rsid w:val="000E5E00"/>
    <w:rsid w:val="000F0C4C"/>
    <w:rsid w:val="000F0ED5"/>
    <w:rsid w:val="000F29B4"/>
    <w:rsid w:val="000F3C91"/>
    <w:rsid w:val="000F5BA8"/>
    <w:rsid w:val="00100768"/>
    <w:rsid w:val="00100A4C"/>
    <w:rsid w:val="0010199A"/>
    <w:rsid w:val="00104179"/>
    <w:rsid w:val="00106902"/>
    <w:rsid w:val="00112E2D"/>
    <w:rsid w:val="00115944"/>
    <w:rsid w:val="00123998"/>
    <w:rsid w:val="00130323"/>
    <w:rsid w:val="00131C94"/>
    <w:rsid w:val="00144CD5"/>
    <w:rsid w:val="00144E20"/>
    <w:rsid w:val="00145D32"/>
    <w:rsid w:val="001471A4"/>
    <w:rsid w:val="001513E6"/>
    <w:rsid w:val="00151AC8"/>
    <w:rsid w:val="00152CA9"/>
    <w:rsid w:val="001643C6"/>
    <w:rsid w:val="001646DD"/>
    <w:rsid w:val="001724B7"/>
    <w:rsid w:val="0017539A"/>
    <w:rsid w:val="00181937"/>
    <w:rsid w:val="00182925"/>
    <w:rsid w:val="00182ADE"/>
    <w:rsid w:val="00183A6A"/>
    <w:rsid w:val="0018587D"/>
    <w:rsid w:val="00186DDA"/>
    <w:rsid w:val="001872E4"/>
    <w:rsid w:val="00191363"/>
    <w:rsid w:val="00193F87"/>
    <w:rsid w:val="001944E2"/>
    <w:rsid w:val="001A19B0"/>
    <w:rsid w:val="001A4325"/>
    <w:rsid w:val="001A6FC2"/>
    <w:rsid w:val="001B0D93"/>
    <w:rsid w:val="001B2DB9"/>
    <w:rsid w:val="001B3BE0"/>
    <w:rsid w:val="001B4918"/>
    <w:rsid w:val="001B6A31"/>
    <w:rsid w:val="001C2749"/>
    <w:rsid w:val="001C4107"/>
    <w:rsid w:val="001C59EA"/>
    <w:rsid w:val="001C612E"/>
    <w:rsid w:val="001C7332"/>
    <w:rsid w:val="001D1404"/>
    <w:rsid w:val="001D6029"/>
    <w:rsid w:val="001D6400"/>
    <w:rsid w:val="001E0A2A"/>
    <w:rsid w:val="001E0B72"/>
    <w:rsid w:val="001F2775"/>
    <w:rsid w:val="001F74BD"/>
    <w:rsid w:val="001F7D20"/>
    <w:rsid w:val="00200688"/>
    <w:rsid w:val="002013EE"/>
    <w:rsid w:val="00204677"/>
    <w:rsid w:val="00206F31"/>
    <w:rsid w:val="00211EA5"/>
    <w:rsid w:val="00215D34"/>
    <w:rsid w:val="002170EC"/>
    <w:rsid w:val="00220023"/>
    <w:rsid w:val="00220193"/>
    <w:rsid w:val="002204ED"/>
    <w:rsid w:val="00221CB4"/>
    <w:rsid w:val="00224D83"/>
    <w:rsid w:val="00232D1E"/>
    <w:rsid w:val="00236900"/>
    <w:rsid w:val="00236CF3"/>
    <w:rsid w:val="0024167C"/>
    <w:rsid w:val="00241D8A"/>
    <w:rsid w:val="0024386F"/>
    <w:rsid w:val="00246F5B"/>
    <w:rsid w:val="00253AE1"/>
    <w:rsid w:val="00254270"/>
    <w:rsid w:val="00257E60"/>
    <w:rsid w:val="0026296E"/>
    <w:rsid w:val="00265AA3"/>
    <w:rsid w:val="0026769F"/>
    <w:rsid w:val="00267735"/>
    <w:rsid w:val="002739A9"/>
    <w:rsid w:val="0028438C"/>
    <w:rsid w:val="00285D26"/>
    <w:rsid w:val="00286F03"/>
    <w:rsid w:val="002878B0"/>
    <w:rsid w:val="00291A8B"/>
    <w:rsid w:val="002A0216"/>
    <w:rsid w:val="002A130E"/>
    <w:rsid w:val="002A53E8"/>
    <w:rsid w:val="002A5EEC"/>
    <w:rsid w:val="002A7CD1"/>
    <w:rsid w:val="002B3040"/>
    <w:rsid w:val="002B3F8C"/>
    <w:rsid w:val="002B6CCF"/>
    <w:rsid w:val="002C02A1"/>
    <w:rsid w:val="002C1821"/>
    <w:rsid w:val="002C1DB9"/>
    <w:rsid w:val="002D1BE6"/>
    <w:rsid w:val="002D317E"/>
    <w:rsid w:val="002D50C7"/>
    <w:rsid w:val="002D5EBB"/>
    <w:rsid w:val="002D6AC8"/>
    <w:rsid w:val="002D75B2"/>
    <w:rsid w:val="002E0DE7"/>
    <w:rsid w:val="002E1D19"/>
    <w:rsid w:val="002E2354"/>
    <w:rsid w:val="002E545B"/>
    <w:rsid w:val="002E5DE9"/>
    <w:rsid w:val="002F1870"/>
    <w:rsid w:val="002F490D"/>
    <w:rsid w:val="002F7950"/>
    <w:rsid w:val="0030571B"/>
    <w:rsid w:val="00305EE4"/>
    <w:rsid w:val="00311673"/>
    <w:rsid w:val="00312292"/>
    <w:rsid w:val="00312DE1"/>
    <w:rsid w:val="00313A01"/>
    <w:rsid w:val="00313CF5"/>
    <w:rsid w:val="00324541"/>
    <w:rsid w:val="00326478"/>
    <w:rsid w:val="003330BB"/>
    <w:rsid w:val="003345AE"/>
    <w:rsid w:val="003351D6"/>
    <w:rsid w:val="00335446"/>
    <w:rsid w:val="00342659"/>
    <w:rsid w:val="00346048"/>
    <w:rsid w:val="003502EA"/>
    <w:rsid w:val="00353152"/>
    <w:rsid w:val="00354287"/>
    <w:rsid w:val="00354A24"/>
    <w:rsid w:val="003627E4"/>
    <w:rsid w:val="00370382"/>
    <w:rsid w:val="003733CC"/>
    <w:rsid w:val="00373672"/>
    <w:rsid w:val="00373E8F"/>
    <w:rsid w:val="00376251"/>
    <w:rsid w:val="00376D5C"/>
    <w:rsid w:val="00377064"/>
    <w:rsid w:val="00377B17"/>
    <w:rsid w:val="00380E6F"/>
    <w:rsid w:val="00382DC4"/>
    <w:rsid w:val="00385AD8"/>
    <w:rsid w:val="00386881"/>
    <w:rsid w:val="00387723"/>
    <w:rsid w:val="003925C6"/>
    <w:rsid w:val="00393FA7"/>
    <w:rsid w:val="00397325"/>
    <w:rsid w:val="003A25CC"/>
    <w:rsid w:val="003A3223"/>
    <w:rsid w:val="003A6BBB"/>
    <w:rsid w:val="003A7B2B"/>
    <w:rsid w:val="003A7EA6"/>
    <w:rsid w:val="003B0E35"/>
    <w:rsid w:val="003B49A0"/>
    <w:rsid w:val="003B51D9"/>
    <w:rsid w:val="003C0EB7"/>
    <w:rsid w:val="003C23FD"/>
    <w:rsid w:val="003C3082"/>
    <w:rsid w:val="003C49F9"/>
    <w:rsid w:val="003D1CB2"/>
    <w:rsid w:val="003D4C90"/>
    <w:rsid w:val="003D5ACC"/>
    <w:rsid w:val="003E5FF2"/>
    <w:rsid w:val="003E674A"/>
    <w:rsid w:val="003E7DA6"/>
    <w:rsid w:val="003F1DA3"/>
    <w:rsid w:val="003F6A7D"/>
    <w:rsid w:val="003F746F"/>
    <w:rsid w:val="0040097A"/>
    <w:rsid w:val="00400BF0"/>
    <w:rsid w:val="004025D4"/>
    <w:rsid w:val="00406A62"/>
    <w:rsid w:val="00410CE9"/>
    <w:rsid w:val="00410D45"/>
    <w:rsid w:val="004126AC"/>
    <w:rsid w:val="00427ABF"/>
    <w:rsid w:val="0043041C"/>
    <w:rsid w:val="0043610C"/>
    <w:rsid w:val="0043775F"/>
    <w:rsid w:val="004437E5"/>
    <w:rsid w:val="00444625"/>
    <w:rsid w:val="00445766"/>
    <w:rsid w:val="00445DDE"/>
    <w:rsid w:val="004467EC"/>
    <w:rsid w:val="004563D0"/>
    <w:rsid w:val="00457300"/>
    <w:rsid w:val="00466762"/>
    <w:rsid w:val="00470FC7"/>
    <w:rsid w:val="004714AE"/>
    <w:rsid w:val="0047556D"/>
    <w:rsid w:val="00477231"/>
    <w:rsid w:val="0048552E"/>
    <w:rsid w:val="00487AF1"/>
    <w:rsid w:val="004905E3"/>
    <w:rsid w:val="00494475"/>
    <w:rsid w:val="00496E01"/>
    <w:rsid w:val="00497A5C"/>
    <w:rsid w:val="004A0ABD"/>
    <w:rsid w:val="004A3A3C"/>
    <w:rsid w:val="004A3A6A"/>
    <w:rsid w:val="004A5EC7"/>
    <w:rsid w:val="004A6721"/>
    <w:rsid w:val="004A6DAD"/>
    <w:rsid w:val="004A76BF"/>
    <w:rsid w:val="004B4D7A"/>
    <w:rsid w:val="004C22A1"/>
    <w:rsid w:val="004C2684"/>
    <w:rsid w:val="004C2CFB"/>
    <w:rsid w:val="004C6AEB"/>
    <w:rsid w:val="004D01C7"/>
    <w:rsid w:val="004D6BE3"/>
    <w:rsid w:val="004E2283"/>
    <w:rsid w:val="004E5463"/>
    <w:rsid w:val="004F056A"/>
    <w:rsid w:val="004F1B4B"/>
    <w:rsid w:val="004F5DDE"/>
    <w:rsid w:val="004F6667"/>
    <w:rsid w:val="00502857"/>
    <w:rsid w:val="00504015"/>
    <w:rsid w:val="00513422"/>
    <w:rsid w:val="00516E58"/>
    <w:rsid w:val="005179F4"/>
    <w:rsid w:val="0052089C"/>
    <w:rsid w:val="0052234A"/>
    <w:rsid w:val="005223FC"/>
    <w:rsid w:val="005237F3"/>
    <w:rsid w:val="00524214"/>
    <w:rsid w:val="00530CE1"/>
    <w:rsid w:val="00540742"/>
    <w:rsid w:val="00543043"/>
    <w:rsid w:val="00543E31"/>
    <w:rsid w:val="00547A54"/>
    <w:rsid w:val="00555CFC"/>
    <w:rsid w:val="00562505"/>
    <w:rsid w:val="005626A9"/>
    <w:rsid w:val="00566BC6"/>
    <w:rsid w:val="00571AB0"/>
    <w:rsid w:val="00574227"/>
    <w:rsid w:val="00576196"/>
    <w:rsid w:val="00576D15"/>
    <w:rsid w:val="005848EA"/>
    <w:rsid w:val="005901C4"/>
    <w:rsid w:val="00593F35"/>
    <w:rsid w:val="005954B8"/>
    <w:rsid w:val="005A0FF3"/>
    <w:rsid w:val="005A19F4"/>
    <w:rsid w:val="005A30C1"/>
    <w:rsid w:val="005A3B4A"/>
    <w:rsid w:val="005B0B6C"/>
    <w:rsid w:val="005B5D21"/>
    <w:rsid w:val="005B7953"/>
    <w:rsid w:val="005B7C89"/>
    <w:rsid w:val="005C3317"/>
    <w:rsid w:val="005C384C"/>
    <w:rsid w:val="005C3B3C"/>
    <w:rsid w:val="005C5B81"/>
    <w:rsid w:val="005C66EF"/>
    <w:rsid w:val="005D56A0"/>
    <w:rsid w:val="005D73CB"/>
    <w:rsid w:val="005F2187"/>
    <w:rsid w:val="005F249C"/>
    <w:rsid w:val="005F2C41"/>
    <w:rsid w:val="005F560B"/>
    <w:rsid w:val="0060065A"/>
    <w:rsid w:val="00602DFC"/>
    <w:rsid w:val="00605DC9"/>
    <w:rsid w:val="00606280"/>
    <w:rsid w:val="006102D9"/>
    <w:rsid w:val="00612AAF"/>
    <w:rsid w:val="00614431"/>
    <w:rsid w:val="00615CA4"/>
    <w:rsid w:val="006178AF"/>
    <w:rsid w:val="00617ACF"/>
    <w:rsid w:val="00622D83"/>
    <w:rsid w:val="0062370A"/>
    <w:rsid w:val="0062455D"/>
    <w:rsid w:val="0062664B"/>
    <w:rsid w:val="006275F2"/>
    <w:rsid w:val="006313B3"/>
    <w:rsid w:val="00633F10"/>
    <w:rsid w:val="00635782"/>
    <w:rsid w:val="0064021D"/>
    <w:rsid w:val="006408D0"/>
    <w:rsid w:val="00645A48"/>
    <w:rsid w:val="00646344"/>
    <w:rsid w:val="00647594"/>
    <w:rsid w:val="006518FA"/>
    <w:rsid w:val="00655612"/>
    <w:rsid w:val="00656D3B"/>
    <w:rsid w:val="00657D18"/>
    <w:rsid w:val="0066324A"/>
    <w:rsid w:val="00674B53"/>
    <w:rsid w:val="00677247"/>
    <w:rsid w:val="006772A5"/>
    <w:rsid w:val="00677967"/>
    <w:rsid w:val="00680832"/>
    <w:rsid w:val="00681506"/>
    <w:rsid w:val="00684BFA"/>
    <w:rsid w:val="00691D35"/>
    <w:rsid w:val="006A075F"/>
    <w:rsid w:val="006A16A8"/>
    <w:rsid w:val="006B04F0"/>
    <w:rsid w:val="006B0D55"/>
    <w:rsid w:val="006B1043"/>
    <w:rsid w:val="006B3A94"/>
    <w:rsid w:val="006B782C"/>
    <w:rsid w:val="006C4B83"/>
    <w:rsid w:val="006C76E9"/>
    <w:rsid w:val="006D40B2"/>
    <w:rsid w:val="006D4EBE"/>
    <w:rsid w:val="006E287A"/>
    <w:rsid w:val="006E757D"/>
    <w:rsid w:val="00700854"/>
    <w:rsid w:val="00700A4E"/>
    <w:rsid w:val="00703E5B"/>
    <w:rsid w:val="00706748"/>
    <w:rsid w:val="007118F9"/>
    <w:rsid w:val="00716078"/>
    <w:rsid w:val="007170DF"/>
    <w:rsid w:val="0072309C"/>
    <w:rsid w:val="007249CA"/>
    <w:rsid w:val="007262DA"/>
    <w:rsid w:val="007264E3"/>
    <w:rsid w:val="00727951"/>
    <w:rsid w:val="00727DC4"/>
    <w:rsid w:val="00732909"/>
    <w:rsid w:val="0073599C"/>
    <w:rsid w:val="00741443"/>
    <w:rsid w:val="00744D44"/>
    <w:rsid w:val="00747021"/>
    <w:rsid w:val="00751151"/>
    <w:rsid w:val="00751273"/>
    <w:rsid w:val="00753C0F"/>
    <w:rsid w:val="00755BB2"/>
    <w:rsid w:val="007571AE"/>
    <w:rsid w:val="007575E2"/>
    <w:rsid w:val="00760026"/>
    <w:rsid w:val="00760310"/>
    <w:rsid w:val="007617E0"/>
    <w:rsid w:val="00761D5D"/>
    <w:rsid w:val="00762EDE"/>
    <w:rsid w:val="00763B94"/>
    <w:rsid w:val="0076731E"/>
    <w:rsid w:val="00774FB8"/>
    <w:rsid w:val="00782CB7"/>
    <w:rsid w:val="00782F80"/>
    <w:rsid w:val="00786970"/>
    <w:rsid w:val="00790857"/>
    <w:rsid w:val="00790A27"/>
    <w:rsid w:val="00791F7D"/>
    <w:rsid w:val="00793972"/>
    <w:rsid w:val="007946C2"/>
    <w:rsid w:val="007950DD"/>
    <w:rsid w:val="00797B89"/>
    <w:rsid w:val="00797E1D"/>
    <w:rsid w:val="007A0F08"/>
    <w:rsid w:val="007A7D7B"/>
    <w:rsid w:val="007B2A55"/>
    <w:rsid w:val="007B7695"/>
    <w:rsid w:val="007B7EDF"/>
    <w:rsid w:val="007C2611"/>
    <w:rsid w:val="007C3B67"/>
    <w:rsid w:val="007C63B0"/>
    <w:rsid w:val="007D0C96"/>
    <w:rsid w:val="007D276E"/>
    <w:rsid w:val="007D6F1A"/>
    <w:rsid w:val="007D72F0"/>
    <w:rsid w:val="007E26B4"/>
    <w:rsid w:val="007E2AE8"/>
    <w:rsid w:val="007E33D1"/>
    <w:rsid w:val="007E4652"/>
    <w:rsid w:val="007E5348"/>
    <w:rsid w:val="007F0B2B"/>
    <w:rsid w:val="007F16EC"/>
    <w:rsid w:val="007F1938"/>
    <w:rsid w:val="007F24F8"/>
    <w:rsid w:val="007F3149"/>
    <w:rsid w:val="007F32C8"/>
    <w:rsid w:val="007F4D85"/>
    <w:rsid w:val="007F53EA"/>
    <w:rsid w:val="007F6F3F"/>
    <w:rsid w:val="00803909"/>
    <w:rsid w:val="008040D1"/>
    <w:rsid w:val="008119FD"/>
    <w:rsid w:val="0081460F"/>
    <w:rsid w:val="008153BD"/>
    <w:rsid w:val="00822F15"/>
    <w:rsid w:val="00830498"/>
    <w:rsid w:val="00832772"/>
    <w:rsid w:val="00832E7F"/>
    <w:rsid w:val="008366AC"/>
    <w:rsid w:val="00840743"/>
    <w:rsid w:val="00843DA7"/>
    <w:rsid w:val="00845BC3"/>
    <w:rsid w:val="00855319"/>
    <w:rsid w:val="0086086D"/>
    <w:rsid w:val="00860DBC"/>
    <w:rsid w:val="00866A18"/>
    <w:rsid w:val="00867E6A"/>
    <w:rsid w:val="0087591B"/>
    <w:rsid w:val="0088613D"/>
    <w:rsid w:val="00890B82"/>
    <w:rsid w:val="00891ABE"/>
    <w:rsid w:val="00894699"/>
    <w:rsid w:val="008A269D"/>
    <w:rsid w:val="008B643A"/>
    <w:rsid w:val="008B644F"/>
    <w:rsid w:val="008D04DE"/>
    <w:rsid w:val="008D29BF"/>
    <w:rsid w:val="008D460E"/>
    <w:rsid w:val="008D517D"/>
    <w:rsid w:val="008D6881"/>
    <w:rsid w:val="008D7608"/>
    <w:rsid w:val="008D7AAE"/>
    <w:rsid w:val="008D7EBA"/>
    <w:rsid w:val="008E0391"/>
    <w:rsid w:val="008E4D1A"/>
    <w:rsid w:val="008E6A37"/>
    <w:rsid w:val="008F5EA9"/>
    <w:rsid w:val="00901AA2"/>
    <w:rsid w:val="00903165"/>
    <w:rsid w:val="00910797"/>
    <w:rsid w:val="00912C99"/>
    <w:rsid w:val="00912D35"/>
    <w:rsid w:val="00916193"/>
    <w:rsid w:val="009302CC"/>
    <w:rsid w:val="0093201A"/>
    <w:rsid w:val="009354C8"/>
    <w:rsid w:val="0094308C"/>
    <w:rsid w:val="00950F60"/>
    <w:rsid w:val="00951849"/>
    <w:rsid w:val="00952040"/>
    <w:rsid w:val="0095624A"/>
    <w:rsid w:val="0095748D"/>
    <w:rsid w:val="00963A9E"/>
    <w:rsid w:val="00963E2A"/>
    <w:rsid w:val="009658A5"/>
    <w:rsid w:val="00965B35"/>
    <w:rsid w:val="009664E3"/>
    <w:rsid w:val="00967743"/>
    <w:rsid w:val="009702CD"/>
    <w:rsid w:val="009723DE"/>
    <w:rsid w:val="00972635"/>
    <w:rsid w:val="00976643"/>
    <w:rsid w:val="009770AE"/>
    <w:rsid w:val="0097776B"/>
    <w:rsid w:val="00981F38"/>
    <w:rsid w:val="0098373E"/>
    <w:rsid w:val="00983B2B"/>
    <w:rsid w:val="00984C5F"/>
    <w:rsid w:val="00987D51"/>
    <w:rsid w:val="00995E81"/>
    <w:rsid w:val="00996405"/>
    <w:rsid w:val="009975E7"/>
    <w:rsid w:val="009A3CCE"/>
    <w:rsid w:val="009A3DA2"/>
    <w:rsid w:val="009A4E1E"/>
    <w:rsid w:val="009B4DE2"/>
    <w:rsid w:val="009B5EC2"/>
    <w:rsid w:val="009C4D42"/>
    <w:rsid w:val="009C6239"/>
    <w:rsid w:val="009C7576"/>
    <w:rsid w:val="009D1EA5"/>
    <w:rsid w:val="009D26AB"/>
    <w:rsid w:val="009E0742"/>
    <w:rsid w:val="009E1554"/>
    <w:rsid w:val="009E18EF"/>
    <w:rsid w:val="009E56A5"/>
    <w:rsid w:val="009F095C"/>
    <w:rsid w:val="00A00D39"/>
    <w:rsid w:val="00A04039"/>
    <w:rsid w:val="00A06657"/>
    <w:rsid w:val="00A115D8"/>
    <w:rsid w:val="00A11D01"/>
    <w:rsid w:val="00A13665"/>
    <w:rsid w:val="00A14874"/>
    <w:rsid w:val="00A17771"/>
    <w:rsid w:val="00A21780"/>
    <w:rsid w:val="00A23CC4"/>
    <w:rsid w:val="00A278E8"/>
    <w:rsid w:val="00A3743A"/>
    <w:rsid w:val="00A45EF0"/>
    <w:rsid w:val="00A4716C"/>
    <w:rsid w:val="00A51E80"/>
    <w:rsid w:val="00A53504"/>
    <w:rsid w:val="00A57A73"/>
    <w:rsid w:val="00A6223F"/>
    <w:rsid w:val="00A62633"/>
    <w:rsid w:val="00A65F7A"/>
    <w:rsid w:val="00A70781"/>
    <w:rsid w:val="00A71C5B"/>
    <w:rsid w:val="00A7537C"/>
    <w:rsid w:val="00A76BD6"/>
    <w:rsid w:val="00A7748F"/>
    <w:rsid w:val="00A81096"/>
    <w:rsid w:val="00A90581"/>
    <w:rsid w:val="00A91A95"/>
    <w:rsid w:val="00A927A8"/>
    <w:rsid w:val="00AA469C"/>
    <w:rsid w:val="00AA53FC"/>
    <w:rsid w:val="00AA5F84"/>
    <w:rsid w:val="00AC2B1F"/>
    <w:rsid w:val="00AC5381"/>
    <w:rsid w:val="00AC5EC0"/>
    <w:rsid w:val="00AC6383"/>
    <w:rsid w:val="00AD0E8A"/>
    <w:rsid w:val="00AD2D16"/>
    <w:rsid w:val="00AD6CF3"/>
    <w:rsid w:val="00AE09EF"/>
    <w:rsid w:val="00AE2864"/>
    <w:rsid w:val="00AE515B"/>
    <w:rsid w:val="00AF1780"/>
    <w:rsid w:val="00AF35B4"/>
    <w:rsid w:val="00AF377C"/>
    <w:rsid w:val="00AF45B6"/>
    <w:rsid w:val="00AF6A4C"/>
    <w:rsid w:val="00AF72D3"/>
    <w:rsid w:val="00AF78B0"/>
    <w:rsid w:val="00B01D91"/>
    <w:rsid w:val="00B15795"/>
    <w:rsid w:val="00B2411B"/>
    <w:rsid w:val="00B33160"/>
    <w:rsid w:val="00B33C30"/>
    <w:rsid w:val="00B342D1"/>
    <w:rsid w:val="00B35386"/>
    <w:rsid w:val="00B36350"/>
    <w:rsid w:val="00B363AA"/>
    <w:rsid w:val="00B37E1D"/>
    <w:rsid w:val="00B40297"/>
    <w:rsid w:val="00B43A80"/>
    <w:rsid w:val="00B479E1"/>
    <w:rsid w:val="00B50896"/>
    <w:rsid w:val="00B50A64"/>
    <w:rsid w:val="00B52985"/>
    <w:rsid w:val="00B54091"/>
    <w:rsid w:val="00B5751D"/>
    <w:rsid w:val="00B57613"/>
    <w:rsid w:val="00B5781F"/>
    <w:rsid w:val="00B62AF1"/>
    <w:rsid w:val="00B63B84"/>
    <w:rsid w:val="00B63D18"/>
    <w:rsid w:val="00B734F9"/>
    <w:rsid w:val="00B74B2C"/>
    <w:rsid w:val="00B7507B"/>
    <w:rsid w:val="00B77D5E"/>
    <w:rsid w:val="00B848FE"/>
    <w:rsid w:val="00B8705A"/>
    <w:rsid w:val="00B91A04"/>
    <w:rsid w:val="00B91ED4"/>
    <w:rsid w:val="00B91F7E"/>
    <w:rsid w:val="00B925C7"/>
    <w:rsid w:val="00BA554D"/>
    <w:rsid w:val="00BA592F"/>
    <w:rsid w:val="00BB0BCD"/>
    <w:rsid w:val="00BB27EC"/>
    <w:rsid w:val="00BB46AB"/>
    <w:rsid w:val="00BB7297"/>
    <w:rsid w:val="00BC1077"/>
    <w:rsid w:val="00BC35A8"/>
    <w:rsid w:val="00BC3A15"/>
    <w:rsid w:val="00BC411B"/>
    <w:rsid w:val="00BC429A"/>
    <w:rsid w:val="00BC5026"/>
    <w:rsid w:val="00BC6FBE"/>
    <w:rsid w:val="00BD170B"/>
    <w:rsid w:val="00BD44F5"/>
    <w:rsid w:val="00BE06CF"/>
    <w:rsid w:val="00BE270F"/>
    <w:rsid w:val="00BE70AA"/>
    <w:rsid w:val="00BE781A"/>
    <w:rsid w:val="00BF4AB1"/>
    <w:rsid w:val="00BF58EC"/>
    <w:rsid w:val="00BF67AF"/>
    <w:rsid w:val="00BF7330"/>
    <w:rsid w:val="00C06389"/>
    <w:rsid w:val="00C06C00"/>
    <w:rsid w:val="00C13EA5"/>
    <w:rsid w:val="00C228C8"/>
    <w:rsid w:val="00C23042"/>
    <w:rsid w:val="00C24F02"/>
    <w:rsid w:val="00C27F95"/>
    <w:rsid w:val="00C36B24"/>
    <w:rsid w:val="00C37697"/>
    <w:rsid w:val="00C37BAD"/>
    <w:rsid w:val="00C41DD6"/>
    <w:rsid w:val="00C420BF"/>
    <w:rsid w:val="00C43109"/>
    <w:rsid w:val="00C44056"/>
    <w:rsid w:val="00C45DD5"/>
    <w:rsid w:val="00C463A0"/>
    <w:rsid w:val="00C47D27"/>
    <w:rsid w:val="00C52A4D"/>
    <w:rsid w:val="00C554E7"/>
    <w:rsid w:val="00C561B7"/>
    <w:rsid w:val="00C5701D"/>
    <w:rsid w:val="00C57667"/>
    <w:rsid w:val="00C657E7"/>
    <w:rsid w:val="00C65AAD"/>
    <w:rsid w:val="00C7460A"/>
    <w:rsid w:val="00C75A7A"/>
    <w:rsid w:val="00C7660E"/>
    <w:rsid w:val="00C8048B"/>
    <w:rsid w:val="00C90EB0"/>
    <w:rsid w:val="00C921F5"/>
    <w:rsid w:val="00C930F3"/>
    <w:rsid w:val="00C9316C"/>
    <w:rsid w:val="00C945B3"/>
    <w:rsid w:val="00C96308"/>
    <w:rsid w:val="00C97D98"/>
    <w:rsid w:val="00CA108B"/>
    <w:rsid w:val="00CA3470"/>
    <w:rsid w:val="00CA45ED"/>
    <w:rsid w:val="00CA60D3"/>
    <w:rsid w:val="00CA762B"/>
    <w:rsid w:val="00CB52D8"/>
    <w:rsid w:val="00CB54BC"/>
    <w:rsid w:val="00CB7122"/>
    <w:rsid w:val="00CC1859"/>
    <w:rsid w:val="00CC444C"/>
    <w:rsid w:val="00CD06B5"/>
    <w:rsid w:val="00CD2B58"/>
    <w:rsid w:val="00CE03F8"/>
    <w:rsid w:val="00CE337D"/>
    <w:rsid w:val="00CE41CA"/>
    <w:rsid w:val="00CE4EFF"/>
    <w:rsid w:val="00CE7452"/>
    <w:rsid w:val="00CF0333"/>
    <w:rsid w:val="00CF4337"/>
    <w:rsid w:val="00CF51DE"/>
    <w:rsid w:val="00D03931"/>
    <w:rsid w:val="00D04331"/>
    <w:rsid w:val="00D04922"/>
    <w:rsid w:val="00D13726"/>
    <w:rsid w:val="00D16BB5"/>
    <w:rsid w:val="00D23D59"/>
    <w:rsid w:val="00D25E14"/>
    <w:rsid w:val="00D27D0F"/>
    <w:rsid w:val="00D30D6C"/>
    <w:rsid w:val="00D34264"/>
    <w:rsid w:val="00D42975"/>
    <w:rsid w:val="00D51D12"/>
    <w:rsid w:val="00D51D29"/>
    <w:rsid w:val="00D52ACE"/>
    <w:rsid w:val="00D53490"/>
    <w:rsid w:val="00D5528B"/>
    <w:rsid w:val="00D55E8A"/>
    <w:rsid w:val="00D6100B"/>
    <w:rsid w:val="00D61584"/>
    <w:rsid w:val="00D63EB4"/>
    <w:rsid w:val="00D6468A"/>
    <w:rsid w:val="00D66F11"/>
    <w:rsid w:val="00D74B00"/>
    <w:rsid w:val="00D80EA7"/>
    <w:rsid w:val="00D871EE"/>
    <w:rsid w:val="00D900DF"/>
    <w:rsid w:val="00D920BB"/>
    <w:rsid w:val="00D923B2"/>
    <w:rsid w:val="00D95E75"/>
    <w:rsid w:val="00DA08BD"/>
    <w:rsid w:val="00DA14BE"/>
    <w:rsid w:val="00DA1716"/>
    <w:rsid w:val="00DA2336"/>
    <w:rsid w:val="00DA2972"/>
    <w:rsid w:val="00DA381A"/>
    <w:rsid w:val="00DA7080"/>
    <w:rsid w:val="00DA7165"/>
    <w:rsid w:val="00DB3D56"/>
    <w:rsid w:val="00DB49AA"/>
    <w:rsid w:val="00DB6EDA"/>
    <w:rsid w:val="00DC1631"/>
    <w:rsid w:val="00DD048A"/>
    <w:rsid w:val="00DD34A2"/>
    <w:rsid w:val="00DD3ECF"/>
    <w:rsid w:val="00DD4D94"/>
    <w:rsid w:val="00DD520D"/>
    <w:rsid w:val="00DD6266"/>
    <w:rsid w:val="00DD795D"/>
    <w:rsid w:val="00DE2A65"/>
    <w:rsid w:val="00DE3BEF"/>
    <w:rsid w:val="00DE3ECB"/>
    <w:rsid w:val="00DF1EDC"/>
    <w:rsid w:val="00DF3367"/>
    <w:rsid w:val="00DF5C24"/>
    <w:rsid w:val="00E0083C"/>
    <w:rsid w:val="00E02F10"/>
    <w:rsid w:val="00E043DE"/>
    <w:rsid w:val="00E04653"/>
    <w:rsid w:val="00E10F38"/>
    <w:rsid w:val="00E113AD"/>
    <w:rsid w:val="00E12924"/>
    <w:rsid w:val="00E13A83"/>
    <w:rsid w:val="00E1504D"/>
    <w:rsid w:val="00E15577"/>
    <w:rsid w:val="00E16737"/>
    <w:rsid w:val="00E22D75"/>
    <w:rsid w:val="00E24864"/>
    <w:rsid w:val="00E312EF"/>
    <w:rsid w:val="00E3693F"/>
    <w:rsid w:val="00E3741B"/>
    <w:rsid w:val="00E40B3F"/>
    <w:rsid w:val="00E511EE"/>
    <w:rsid w:val="00E52E5B"/>
    <w:rsid w:val="00E55350"/>
    <w:rsid w:val="00E61295"/>
    <w:rsid w:val="00E72049"/>
    <w:rsid w:val="00E7380D"/>
    <w:rsid w:val="00E7398C"/>
    <w:rsid w:val="00E74E02"/>
    <w:rsid w:val="00E82352"/>
    <w:rsid w:val="00E86FCC"/>
    <w:rsid w:val="00E87AC0"/>
    <w:rsid w:val="00E91615"/>
    <w:rsid w:val="00EA4732"/>
    <w:rsid w:val="00EB3BBE"/>
    <w:rsid w:val="00EB631C"/>
    <w:rsid w:val="00EC402D"/>
    <w:rsid w:val="00ED5CEE"/>
    <w:rsid w:val="00ED7237"/>
    <w:rsid w:val="00ED7394"/>
    <w:rsid w:val="00EE58DF"/>
    <w:rsid w:val="00EF4944"/>
    <w:rsid w:val="00EF6354"/>
    <w:rsid w:val="00F12422"/>
    <w:rsid w:val="00F12495"/>
    <w:rsid w:val="00F12F0C"/>
    <w:rsid w:val="00F165DE"/>
    <w:rsid w:val="00F24804"/>
    <w:rsid w:val="00F27A1A"/>
    <w:rsid w:val="00F27E64"/>
    <w:rsid w:val="00F30901"/>
    <w:rsid w:val="00F44A1C"/>
    <w:rsid w:val="00F457F0"/>
    <w:rsid w:val="00F47901"/>
    <w:rsid w:val="00F6183F"/>
    <w:rsid w:val="00F61945"/>
    <w:rsid w:val="00F6256D"/>
    <w:rsid w:val="00F63503"/>
    <w:rsid w:val="00F66C56"/>
    <w:rsid w:val="00F73C92"/>
    <w:rsid w:val="00F73F7F"/>
    <w:rsid w:val="00F82660"/>
    <w:rsid w:val="00F83CE6"/>
    <w:rsid w:val="00F84628"/>
    <w:rsid w:val="00F90EA9"/>
    <w:rsid w:val="00F91B0A"/>
    <w:rsid w:val="00F956E7"/>
    <w:rsid w:val="00F96C2B"/>
    <w:rsid w:val="00FA0332"/>
    <w:rsid w:val="00FA4364"/>
    <w:rsid w:val="00FA4D18"/>
    <w:rsid w:val="00FA4D9A"/>
    <w:rsid w:val="00FA5A3A"/>
    <w:rsid w:val="00FA5FC3"/>
    <w:rsid w:val="00FB22B7"/>
    <w:rsid w:val="00FB437E"/>
    <w:rsid w:val="00FC75BF"/>
    <w:rsid w:val="00FD15E9"/>
    <w:rsid w:val="00FD4C1B"/>
    <w:rsid w:val="00FE24C2"/>
    <w:rsid w:val="00FE2F8A"/>
    <w:rsid w:val="00FE5214"/>
    <w:rsid w:val="00FF07BB"/>
    <w:rsid w:val="00FF12C9"/>
    <w:rsid w:val="00FF1C31"/>
    <w:rsid w:val="00FF3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F38"/>
    <w:pPr>
      <w:widowControl w:val="0"/>
      <w:spacing w:line="560" w:lineRule="exact"/>
      <w:ind w:firstLineChars="200" w:firstLine="200"/>
      <w:jc w:val="both"/>
    </w:pPr>
    <w:rPr>
      <w:rFonts w:ascii="仿宋_GB2312" w:eastAsia="仿宋_GB2312" w:hAnsi="仿宋_GB2312" w:cs="仿宋_GB2312"/>
      <w:sz w:val="30"/>
      <w:szCs w:val="30"/>
    </w:rPr>
  </w:style>
  <w:style w:type="paragraph" w:styleId="1">
    <w:name w:val="heading 1"/>
    <w:basedOn w:val="3"/>
    <w:next w:val="a"/>
    <w:link w:val="1Char"/>
    <w:uiPriority w:val="9"/>
    <w:qFormat/>
    <w:rsid w:val="00E10F38"/>
    <w:pPr>
      <w:ind w:firstLine="200"/>
      <w:outlineLvl w:val="0"/>
    </w:pPr>
    <w:rPr>
      <w:rFonts w:ascii="宋体" w:eastAsia="宋体" w:hAnsi="宋体" w:cs="宋体"/>
      <w:sz w:val="36"/>
      <w:szCs w:val="36"/>
    </w:rPr>
  </w:style>
  <w:style w:type="paragraph" w:styleId="2">
    <w:name w:val="heading 2"/>
    <w:basedOn w:val="a"/>
    <w:next w:val="a"/>
    <w:link w:val="2Char"/>
    <w:uiPriority w:val="9"/>
    <w:unhideWhenUsed/>
    <w:qFormat/>
    <w:rsid w:val="00E10F38"/>
    <w:pPr>
      <w:keepNext/>
      <w:keepLines/>
      <w:outlineLvl w:val="1"/>
    </w:pPr>
    <w:rPr>
      <w:bCs/>
    </w:rPr>
  </w:style>
  <w:style w:type="paragraph" w:styleId="3">
    <w:name w:val="heading 3"/>
    <w:basedOn w:val="a"/>
    <w:next w:val="a"/>
    <w:link w:val="3Char"/>
    <w:uiPriority w:val="9"/>
    <w:unhideWhenUsed/>
    <w:qFormat/>
    <w:rsid w:val="00E10F38"/>
    <w:pPr>
      <w:ind w:firstLine="600"/>
      <w:outlineLvl w:val="2"/>
    </w:pPr>
  </w:style>
  <w:style w:type="paragraph" w:styleId="4">
    <w:name w:val="heading 4"/>
    <w:basedOn w:val="a"/>
    <w:next w:val="a"/>
    <w:link w:val="4Char"/>
    <w:uiPriority w:val="9"/>
    <w:unhideWhenUsed/>
    <w:qFormat/>
    <w:rsid w:val="00E10F38"/>
    <w:pPr>
      <w:keepNext/>
      <w:keepLines/>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E10F38"/>
    <w:rPr>
      <w:rFonts w:ascii="仿宋_GB2312" w:eastAsia="仿宋_GB2312" w:hAnsi="仿宋_GB2312" w:cs="仿宋_GB2312"/>
      <w:bCs/>
      <w:sz w:val="30"/>
      <w:szCs w:val="30"/>
    </w:rPr>
  </w:style>
  <w:style w:type="character" w:customStyle="1" w:styleId="1Char">
    <w:name w:val="标题 1 Char"/>
    <w:basedOn w:val="a0"/>
    <w:link w:val="1"/>
    <w:uiPriority w:val="9"/>
    <w:rsid w:val="00E10F38"/>
    <w:rPr>
      <w:rFonts w:ascii="宋体" w:eastAsia="宋体" w:hAnsi="宋体" w:cs="宋体"/>
      <w:sz w:val="36"/>
      <w:szCs w:val="36"/>
    </w:rPr>
  </w:style>
  <w:style w:type="character" w:customStyle="1" w:styleId="2Char">
    <w:name w:val="标题 2 Char"/>
    <w:basedOn w:val="a0"/>
    <w:link w:val="2"/>
    <w:uiPriority w:val="9"/>
    <w:rsid w:val="00E10F38"/>
    <w:rPr>
      <w:rFonts w:ascii="仿宋_GB2312" w:eastAsia="仿宋_GB2312" w:hAnsi="仿宋_GB2312" w:cs="仿宋_GB2312"/>
      <w:bCs/>
      <w:sz w:val="30"/>
      <w:szCs w:val="30"/>
    </w:rPr>
  </w:style>
  <w:style w:type="character" w:customStyle="1" w:styleId="3Char">
    <w:name w:val="标题 3 Char"/>
    <w:basedOn w:val="a0"/>
    <w:link w:val="3"/>
    <w:uiPriority w:val="9"/>
    <w:rsid w:val="00E10F38"/>
    <w:rPr>
      <w:rFonts w:ascii="仿宋_GB2312" w:eastAsia="仿宋_GB2312" w:hAnsi="仿宋_GB2312" w:cs="仿宋_GB2312"/>
      <w:sz w:val="30"/>
      <w:szCs w:val="30"/>
    </w:rPr>
  </w:style>
  <w:style w:type="paragraph" w:styleId="a3">
    <w:name w:val="header"/>
    <w:basedOn w:val="a"/>
    <w:link w:val="Char"/>
    <w:uiPriority w:val="99"/>
    <w:unhideWhenUsed/>
    <w:rsid w:val="001B0D9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1B0D93"/>
    <w:rPr>
      <w:rFonts w:ascii="仿宋_GB2312" w:eastAsia="仿宋_GB2312" w:hAnsi="仿宋_GB2312" w:cs="仿宋_GB2312"/>
      <w:sz w:val="18"/>
      <w:szCs w:val="18"/>
    </w:rPr>
  </w:style>
  <w:style w:type="paragraph" w:styleId="a4">
    <w:name w:val="footer"/>
    <w:basedOn w:val="a"/>
    <w:link w:val="Char0"/>
    <w:uiPriority w:val="99"/>
    <w:unhideWhenUsed/>
    <w:rsid w:val="001B0D93"/>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1B0D93"/>
    <w:rPr>
      <w:rFonts w:ascii="仿宋_GB2312" w:eastAsia="仿宋_GB2312" w:hAnsi="仿宋_GB2312" w:cs="仿宋_GB2312"/>
      <w:sz w:val="18"/>
      <w:szCs w:val="18"/>
    </w:rPr>
  </w:style>
  <w:style w:type="character" w:styleId="a5">
    <w:name w:val="Hyperlink"/>
    <w:basedOn w:val="a0"/>
    <w:uiPriority w:val="99"/>
    <w:semiHidden/>
    <w:unhideWhenUsed/>
    <w:rsid w:val="001B0D93"/>
    <w:rPr>
      <w:color w:val="0000FF"/>
      <w:u w:val="single"/>
    </w:rPr>
  </w:style>
  <w:style w:type="paragraph" w:styleId="a6">
    <w:name w:val="Normal (Web)"/>
    <w:basedOn w:val="a"/>
    <w:rsid w:val="004714AE"/>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F38"/>
    <w:pPr>
      <w:widowControl w:val="0"/>
      <w:spacing w:line="560" w:lineRule="exact"/>
      <w:ind w:firstLineChars="200" w:firstLine="200"/>
      <w:jc w:val="both"/>
    </w:pPr>
    <w:rPr>
      <w:rFonts w:ascii="仿宋_GB2312" w:eastAsia="仿宋_GB2312" w:hAnsi="仿宋_GB2312" w:cs="仿宋_GB2312"/>
      <w:sz w:val="30"/>
      <w:szCs w:val="30"/>
    </w:rPr>
  </w:style>
  <w:style w:type="paragraph" w:styleId="1">
    <w:name w:val="heading 1"/>
    <w:basedOn w:val="3"/>
    <w:next w:val="a"/>
    <w:link w:val="1Char"/>
    <w:uiPriority w:val="9"/>
    <w:qFormat/>
    <w:rsid w:val="00E10F38"/>
    <w:pPr>
      <w:ind w:firstLine="200"/>
      <w:outlineLvl w:val="0"/>
    </w:pPr>
    <w:rPr>
      <w:rFonts w:ascii="宋体" w:eastAsia="宋体" w:hAnsi="宋体" w:cs="宋体"/>
      <w:sz w:val="36"/>
      <w:szCs w:val="36"/>
    </w:rPr>
  </w:style>
  <w:style w:type="paragraph" w:styleId="2">
    <w:name w:val="heading 2"/>
    <w:basedOn w:val="a"/>
    <w:next w:val="a"/>
    <w:link w:val="2Char"/>
    <w:uiPriority w:val="9"/>
    <w:unhideWhenUsed/>
    <w:qFormat/>
    <w:rsid w:val="00E10F38"/>
    <w:pPr>
      <w:keepNext/>
      <w:keepLines/>
      <w:outlineLvl w:val="1"/>
    </w:pPr>
    <w:rPr>
      <w:bCs/>
    </w:rPr>
  </w:style>
  <w:style w:type="paragraph" w:styleId="3">
    <w:name w:val="heading 3"/>
    <w:basedOn w:val="a"/>
    <w:next w:val="a"/>
    <w:link w:val="3Char"/>
    <w:uiPriority w:val="9"/>
    <w:unhideWhenUsed/>
    <w:qFormat/>
    <w:rsid w:val="00E10F38"/>
    <w:pPr>
      <w:ind w:firstLine="600"/>
      <w:outlineLvl w:val="2"/>
    </w:pPr>
  </w:style>
  <w:style w:type="paragraph" w:styleId="4">
    <w:name w:val="heading 4"/>
    <w:basedOn w:val="a"/>
    <w:next w:val="a"/>
    <w:link w:val="4Char"/>
    <w:uiPriority w:val="9"/>
    <w:unhideWhenUsed/>
    <w:qFormat/>
    <w:rsid w:val="00E10F38"/>
    <w:pPr>
      <w:keepNext/>
      <w:keepLines/>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E10F38"/>
    <w:rPr>
      <w:rFonts w:ascii="仿宋_GB2312" w:eastAsia="仿宋_GB2312" w:hAnsi="仿宋_GB2312" w:cs="仿宋_GB2312"/>
      <w:bCs/>
      <w:sz w:val="30"/>
      <w:szCs w:val="30"/>
    </w:rPr>
  </w:style>
  <w:style w:type="character" w:customStyle="1" w:styleId="1Char">
    <w:name w:val="标题 1 Char"/>
    <w:basedOn w:val="a0"/>
    <w:link w:val="1"/>
    <w:uiPriority w:val="9"/>
    <w:rsid w:val="00E10F38"/>
    <w:rPr>
      <w:rFonts w:ascii="宋体" w:eastAsia="宋体" w:hAnsi="宋体" w:cs="宋体"/>
      <w:sz w:val="36"/>
      <w:szCs w:val="36"/>
    </w:rPr>
  </w:style>
  <w:style w:type="character" w:customStyle="1" w:styleId="2Char">
    <w:name w:val="标题 2 Char"/>
    <w:basedOn w:val="a0"/>
    <w:link w:val="2"/>
    <w:uiPriority w:val="9"/>
    <w:rsid w:val="00E10F38"/>
    <w:rPr>
      <w:rFonts w:ascii="仿宋_GB2312" w:eastAsia="仿宋_GB2312" w:hAnsi="仿宋_GB2312" w:cs="仿宋_GB2312"/>
      <w:bCs/>
      <w:sz w:val="30"/>
      <w:szCs w:val="30"/>
    </w:rPr>
  </w:style>
  <w:style w:type="character" w:customStyle="1" w:styleId="3Char">
    <w:name w:val="标题 3 Char"/>
    <w:basedOn w:val="a0"/>
    <w:link w:val="3"/>
    <w:uiPriority w:val="9"/>
    <w:rsid w:val="00E10F38"/>
    <w:rPr>
      <w:rFonts w:ascii="仿宋_GB2312" w:eastAsia="仿宋_GB2312" w:hAnsi="仿宋_GB2312" w:cs="仿宋_GB2312"/>
      <w:sz w:val="30"/>
      <w:szCs w:val="30"/>
    </w:rPr>
  </w:style>
  <w:style w:type="paragraph" w:styleId="a3">
    <w:name w:val="header"/>
    <w:basedOn w:val="a"/>
    <w:link w:val="Char"/>
    <w:uiPriority w:val="99"/>
    <w:unhideWhenUsed/>
    <w:rsid w:val="001B0D9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1B0D93"/>
    <w:rPr>
      <w:rFonts w:ascii="仿宋_GB2312" w:eastAsia="仿宋_GB2312" w:hAnsi="仿宋_GB2312" w:cs="仿宋_GB2312"/>
      <w:sz w:val="18"/>
      <w:szCs w:val="18"/>
    </w:rPr>
  </w:style>
  <w:style w:type="paragraph" w:styleId="a4">
    <w:name w:val="footer"/>
    <w:basedOn w:val="a"/>
    <w:link w:val="Char0"/>
    <w:uiPriority w:val="99"/>
    <w:unhideWhenUsed/>
    <w:rsid w:val="001B0D93"/>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1B0D93"/>
    <w:rPr>
      <w:rFonts w:ascii="仿宋_GB2312" w:eastAsia="仿宋_GB2312" w:hAnsi="仿宋_GB2312" w:cs="仿宋_GB2312"/>
      <w:sz w:val="18"/>
      <w:szCs w:val="18"/>
    </w:rPr>
  </w:style>
  <w:style w:type="character" w:styleId="a5">
    <w:name w:val="Hyperlink"/>
    <w:basedOn w:val="a0"/>
    <w:uiPriority w:val="99"/>
    <w:semiHidden/>
    <w:unhideWhenUsed/>
    <w:rsid w:val="001B0D93"/>
    <w:rPr>
      <w:color w:val="0000FF"/>
      <w:u w:val="single"/>
    </w:rPr>
  </w:style>
  <w:style w:type="paragraph" w:styleId="a6">
    <w:name w:val="Normal (Web)"/>
    <w:basedOn w:val="a"/>
    <w:rsid w:val="004714AE"/>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窦佼</dc:creator>
  <cp:lastModifiedBy>窦佼</cp:lastModifiedBy>
  <cp:revision>12</cp:revision>
  <dcterms:created xsi:type="dcterms:W3CDTF">2017-06-12T02:28:00Z</dcterms:created>
  <dcterms:modified xsi:type="dcterms:W3CDTF">2017-06-12T02:32:00Z</dcterms:modified>
</cp:coreProperties>
</file>