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1C8" w:rsidRDefault="00792F25" w:rsidP="004711C8">
      <w:pPr>
        <w:widowControl/>
        <w:adjustRightInd w:val="0"/>
        <w:snapToGrid w:val="0"/>
        <w:spacing w:line="560" w:lineRule="exact"/>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附件：</w:t>
      </w:r>
    </w:p>
    <w:p w:rsidR="004711C8" w:rsidRDefault="004711C8" w:rsidP="004711C8">
      <w:pPr>
        <w:jc w:val="center"/>
        <w:rPr>
          <w:rFonts w:asciiTheme="minorEastAsia" w:hAnsiTheme="minorEastAsia" w:cs="Times New Roman"/>
          <w:b/>
          <w:sz w:val="36"/>
          <w:szCs w:val="36"/>
        </w:rPr>
      </w:pPr>
      <w:r>
        <w:rPr>
          <w:rFonts w:asciiTheme="minorEastAsia" w:hAnsiTheme="minorEastAsia" w:hint="eastAsia"/>
          <w:b/>
          <w:sz w:val="36"/>
          <w:szCs w:val="36"/>
        </w:rPr>
        <w:t>非金融企业债务融资工具信用评级机构自律公约</w:t>
      </w:r>
    </w:p>
    <w:p w:rsidR="004711C8" w:rsidRDefault="004711C8" w:rsidP="004711C8">
      <w:pPr>
        <w:spacing w:line="560" w:lineRule="exact"/>
        <w:jc w:val="center"/>
        <w:rPr>
          <w:rFonts w:ascii="仿宋_GB2312" w:eastAsia="仿宋_GB2312" w:hAnsi="宋体" w:cs="宋体"/>
          <w:b/>
          <w:bCs/>
          <w:kern w:val="0"/>
          <w:sz w:val="36"/>
          <w:szCs w:val="36"/>
        </w:rPr>
      </w:pPr>
    </w:p>
    <w:p w:rsidR="004711C8" w:rsidRDefault="004711C8" w:rsidP="004711C8">
      <w:pPr>
        <w:spacing w:line="560" w:lineRule="exact"/>
        <w:jc w:val="center"/>
        <w:rPr>
          <w:rFonts w:ascii="仿宋_GB2312" w:eastAsia="仿宋_GB2312" w:hAnsi="宋体" w:cs="宋体"/>
          <w:b/>
          <w:kern w:val="0"/>
          <w:sz w:val="30"/>
          <w:szCs w:val="30"/>
        </w:rPr>
      </w:pPr>
      <w:r>
        <w:rPr>
          <w:rFonts w:ascii="仿宋_GB2312" w:eastAsia="仿宋_GB2312" w:hAnsi="宋体" w:cs="宋体" w:hint="eastAsia"/>
          <w:b/>
          <w:kern w:val="0"/>
          <w:sz w:val="30"/>
          <w:szCs w:val="30"/>
        </w:rPr>
        <w:t>第一章 总 则</w:t>
      </w:r>
    </w:p>
    <w:p w:rsidR="004711C8" w:rsidRDefault="004711C8" w:rsidP="004711C8">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第一条</w:t>
      </w:r>
      <w:r>
        <w:rPr>
          <w:rFonts w:ascii="宋体" w:eastAsia="仿宋_GB2312" w:hAnsi="宋体" w:cs="宋体" w:hint="eastAsia"/>
          <w:kern w:val="0"/>
          <w:sz w:val="30"/>
          <w:szCs w:val="30"/>
        </w:rPr>
        <w:t xml:space="preserve">  </w:t>
      </w:r>
      <w:r>
        <w:rPr>
          <w:rFonts w:ascii="仿宋_GB2312" w:eastAsia="仿宋_GB2312" w:hAnsi="宋体" w:cs="宋体" w:hint="eastAsia"/>
          <w:kern w:val="0"/>
          <w:sz w:val="30"/>
          <w:szCs w:val="30"/>
        </w:rPr>
        <w:t>为规范非金融企业债务融资工具（以下简称“债务融资工具”）信用评级业务，建立信用评级机构市场行为的自律管理约束机制，以保障市场公平竞争，促进行业可持续发展，根据中国人民银行《银行间债券市场非金融企业债务融资工具管理办法》（中国人民银行令</w:t>
      </w:r>
      <w:r>
        <w:rPr>
          <w:rFonts w:ascii="仿宋_GB2312" w:eastAsia="仿宋_GB2312" w:hint="eastAsia"/>
          <w:sz w:val="30"/>
          <w:szCs w:val="30"/>
        </w:rPr>
        <w:t>〔</w:t>
      </w:r>
      <w:r>
        <w:rPr>
          <w:rFonts w:ascii="仿宋_GB2312" w:eastAsia="仿宋_GB2312" w:hAnsi="宋体" w:cs="宋体" w:hint="eastAsia"/>
          <w:kern w:val="0"/>
          <w:sz w:val="30"/>
          <w:szCs w:val="30"/>
        </w:rPr>
        <w:t>2008</w:t>
      </w:r>
      <w:r>
        <w:rPr>
          <w:rFonts w:ascii="仿宋_GB2312" w:eastAsia="仿宋_GB2312" w:hint="eastAsia"/>
          <w:sz w:val="30"/>
          <w:szCs w:val="30"/>
        </w:rPr>
        <w:t>〕</w:t>
      </w:r>
      <w:r>
        <w:rPr>
          <w:rFonts w:ascii="仿宋_GB2312" w:eastAsia="仿宋_GB2312" w:hAnsi="宋体" w:cs="宋体" w:hint="eastAsia"/>
          <w:kern w:val="0"/>
          <w:sz w:val="30"/>
          <w:szCs w:val="30"/>
        </w:rPr>
        <w:t>第1号）等制度及中国银行间市场交易商协会相关自律规则，特制定本公约。</w:t>
      </w:r>
    </w:p>
    <w:p w:rsidR="004711C8" w:rsidRDefault="004711C8" w:rsidP="004711C8">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第二条 开展</w:t>
      </w:r>
      <w:r>
        <w:rPr>
          <w:rFonts w:ascii="仿宋_GB2312" w:eastAsia="仿宋_GB2312" w:hint="eastAsia"/>
          <w:sz w:val="30"/>
          <w:szCs w:val="30"/>
        </w:rPr>
        <w:t>债务融资工具信用评级业务的信用评级机构</w:t>
      </w:r>
      <w:r>
        <w:rPr>
          <w:rFonts w:ascii="仿宋_GB2312" w:eastAsia="仿宋_GB2312" w:hAnsi="宋体" w:cs="宋体" w:hint="eastAsia"/>
          <w:kern w:val="0"/>
          <w:sz w:val="30"/>
          <w:szCs w:val="30"/>
        </w:rPr>
        <w:t>（以下简称“评级机构”），经协商达成共识，承诺共同遵守本公约。</w:t>
      </w:r>
    </w:p>
    <w:p w:rsidR="004711C8" w:rsidRDefault="004711C8" w:rsidP="004711C8">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第三条  评级机构应当遵守国家法律、法规及中国人民银行的有关规定，自觉接受中国银行间市场交易商协会（以下简称“交易商协会”）的自律管理，守法合</w:t>
      </w:r>
      <w:proofErr w:type="gramStart"/>
      <w:r>
        <w:rPr>
          <w:rFonts w:ascii="仿宋_GB2312" w:eastAsia="仿宋_GB2312" w:hAnsi="宋体" w:cs="宋体" w:hint="eastAsia"/>
          <w:kern w:val="0"/>
          <w:sz w:val="30"/>
          <w:szCs w:val="30"/>
        </w:rPr>
        <w:t>规</w:t>
      </w:r>
      <w:proofErr w:type="gramEnd"/>
      <w:r>
        <w:rPr>
          <w:rFonts w:ascii="仿宋_GB2312" w:eastAsia="仿宋_GB2312" w:hAnsi="宋体" w:cs="宋体" w:hint="eastAsia"/>
          <w:kern w:val="0"/>
          <w:sz w:val="30"/>
          <w:szCs w:val="30"/>
        </w:rPr>
        <w:t>经营。</w:t>
      </w:r>
    </w:p>
    <w:p w:rsidR="004711C8" w:rsidRDefault="004711C8" w:rsidP="004711C8">
      <w:pPr>
        <w:spacing w:line="560" w:lineRule="exact"/>
        <w:ind w:firstLineChars="200" w:firstLine="600"/>
        <w:rPr>
          <w:rFonts w:ascii="仿宋_GB2312" w:eastAsia="仿宋_GB2312" w:hAnsi="宋体" w:cs="宋体"/>
          <w:b/>
          <w:kern w:val="0"/>
          <w:sz w:val="30"/>
          <w:szCs w:val="30"/>
        </w:rPr>
      </w:pPr>
      <w:r>
        <w:rPr>
          <w:rFonts w:ascii="仿宋_GB2312" w:eastAsia="仿宋_GB2312" w:hAnsi="宋体" w:cs="宋体" w:hint="eastAsia"/>
          <w:kern w:val="0"/>
          <w:sz w:val="30"/>
          <w:szCs w:val="30"/>
        </w:rPr>
        <w:t>第四条  评级机构应当自觉维护金融秩序，遵循独立、客观、公正的原则，不得损害社会公共利益和市场主体合法权益，树立良好的职业道德，积极推进行业自律，努力创造良好的行业发展环境。</w:t>
      </w:r>
    </w:p>
    <w:p w:rsidR="004711C8" w:rsidRDefault="004711C8" w:rsidP="004711C8">
      <w:pPr>
        <w:spacing w:line="560" w:lineRule="exact"/>
        <w:jc w:val="center"/>
        <w:rPr>
          <w:rFonts w:ascii="仿宋_GB2312" w:eastAsia="仿宋_GB2312" w:hAnsi="宋体" w:cs="宋体"/>
          <w:b/>
          <w:kern w:val="0"/>
          <w:sz w:val="30"/>
          <w:szCs w:val="30"/>
        </w:rPr>
      </w:pPr>
      <w:r>
        <w:rPr>
          <w:rFonts w:ascii="仿宋_GB2312" w:eastAsia="仿宋_GB2312" w:hAnsi="宋体" w:cs="宋体" w:hint="eastAsia"/>
          <w:b/>
          <w:kern w:val="0"/>
          <w:sz w:val="30"/>
          <w:szCs w:val="30"/>
        </w:rPr>
        <w:t>第二章 自律条款</w:t>
      </w:r>
    </w:p>
    <w:p w:rsidR="004711C8" w:rsidRDefault="004711C8" w:rsidP="004711C8">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第五条  评级机构及评级人员在开展债务融资工具信用评级业务过程中，承诺不得有下列行为：</w:t>
      </w:r>
    </w:p>
    <w:p w:rsidR="004711C8" w:rsidRDefault="004711C8" w:rsidP="004711C8">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1．与被评对象或其他市场参与主体合谋篡改评级资料或者</w:t>
      </w:r>
      <w:r>
        <w:rPr>
          <w:rFonts w:ascii="仿宋_GB2312" w:eastAsia="仿宋_GB2312" w:hAnsi="宋体" w:cs="宋体" w:hint="eastAsia"/>
          <w:kern w:val="0"/>
          <w:sz w:val="30"/>
          <w:szCs w:val="30"/>
        </w:rPr>
        <w:lastRenderedPageBreak/>
        <w:t>歪曲评级结果。</w:t>
      </w:r>
    </w:p>
    <w:p w:rsidR="004711C8" w:rsidRDefault="004711C8" w:rsidP="004711C8">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2．以明示或默示方式承诺、保证级别，或通过参与级别竞标、低于合理成本的价格进行竞争、诋毁同行等不正当竞争手段承揽业务，进行恶性竞争。</w:t>
      </w:r>
    </w:p>
    <w:p w:rsidR="004711C8" w:rsidRDefault="004711C8" w:rsidP="004711C8">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3．在评级委托协议签订前向委托方或相关机构反馈信用级别或级别区间，包括通过预评估级别或级别区间等方式参与营销、以直接或间接方式向委托方或相关机构反馈级别区间等行为。</w:t>
      </w:r>
    </w:p>
    <w:p w:rsidR="004711C8" w:rsidRDefault="004711C8" w:rsidP="004711C8">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4．以礼金、回扣等方式输送或接受不正当利益。</w:t>
      </w:r>
    </w:p>
    <w:p w:rsidR="004711C8" w:rsidRDefault="004711C8" w:rsidP="004711C8">
      <w:pPr>
        <w:spacing w:line="560" w:lineRule="exact"/>
        <w:ind w:firstLineChars="200" w:firstLine="600"/>
        <w:rPr>
          <w:rFonts w:ascii="仿宋_GB2312" w:eastAsia="仿宋_GB2312" w:hAnsi="Calibri" w:cs="Times New Roman"/>
          <w:sz w:val="30"/>
          <w:szCs w:val="30"/>
        </w:rPr>
      </w:pPr>
      <w:r>
        <w:rPr>
          <w:rFonts w:ascii="仿宋_GB2312" w:eastAsia="仿宋_GB2312" w:hAnsi="宋体" w:cs="宋体" w:hint="eastAsia"/>
          <w:kern w:val="0"/>
          <w:sz w:val="30"/>
          <w:szCs w:val="30"/>
        </w:rPr>
        <w:t>5.</w:t>
      </w:r>
      <w:r w:rsidR="002D429E">
        <w:rPr>
          <w:rFonts w:ascii="仿宋_GB2312" w:eastAsia="仿宋_GB2312" w:hAnsi="宋体" w:cs="宋体" w:hint="eastAsia"/>
          <w:kern w:val="0"/>
          <w:sz w:val="30"/>
          <w:szCs w:val="30"/>
        </w:rPr>
        <w:t xml:space="preserve"> </w:t>
      </w:r>
      <w:r>
        <w:rPr>
          <w:rFonts w:ascii="仿宋_GB2312" w:eastAsia="仿宋_GB2312" w:hAnsi="宋体" w:cs="宋体" w:hint="eastAsia"/>
          <w:kern w:val="0"/>
          <w:sz w:val="30"/>
          <w:szCs w:val="30"/>
        </w:rPr>
        <w:t>出具的评级报告中由于评级机构主观故意或未履行勤勉尽责义务存在虚假记载、误导性陈述或重大遗漏。</w:t>
      </w:r>
    </w:p>
    <w:p w:rsidR="004711C8" w:rsidRDefault="004711C8" w:rsidP="004711C8">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6．对本机构存在法律法规、监管要求或自律规则规定的利益冲突情形的主体或债务融资工具进行评级，或从事与评级活动存在利益冲突的证券或衍生品交易。</w:t>
      </w:r>
    </w:p>
    <w:p w:rsidR="004711C8" w:rsidRDefault="004711C8" w:rsidP="004711C8">
      <w:pPr>
        <w:spacing w:line="560" w:lineRule="exact"/>
        <w:ind w:firstLineChars="200" w:firstLine="600"/>
        <w:rPr>
          <w:rFonts w:ascii="仿宋_GB2312" w:eastAsia="仿宋_GB2312" w:hAnsi="Calibri" w:cs="Times New Roman"/>
          <w:sz w:val="30"/>
          <w:szCs w:val="30"/>
        </w:rPr>
      </w:pPr>
      <w:r>
        <w:rPr>
          <w:rFonts w:ascii="仿宋_GB2312" w:eastAsia="仿宋_GB2312" w:hAnsi="宋体" w:cs="宋体" w:hint="eastAsia"/>
          <w:kern w:val="0"/>
          <w:sz w:val="30"/>
          <w:szCs w:val="30"/>
        </w:rPr>
        <w:t>7．违反相关法律法规或监管要求，对发行人、投资者等相关方造成不良影响的其他行为。</w:t>
      </w:r>
    </w:p>
    <w:p w:rsidR="004711C8" w:rsidRDefault="004711C8" w:rsidP="004711C8">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第六条  评级机构</w:t>
      </w:r>
      <w:r>
        <w:rPr>
          <w:rFonts w:ascii="仿宋_GB2312" w:eastAsia="仿宋_GB2312" w:hAnsiTheme="minorEastAsia" w:hint="eastAsia"/>
          <w:sz w:val="30"/>
          <w:szCs w:val="30"/>
        </w:rPr>
        <w:t>及评级人员</w:t>
      </w:r>
      <w:r>
        <w:rPr>
          <w:rFonts w:ascii="仿宋_GB2312" w:eastAsia="仿宋_GB2312" w:hAnsi="宋体" w:cs="宋体" w:hint="eastAsia"/>
          <w:kern w:val="0"/>
          <w:sz w:val="30"/>
          <w:szCs w:val="30"/>
        </w:rPr>
        <w:t>应遵守相关法律法规和自律规则条款的规定，自觉履行自律义务：</w:t>
      </w:r>
    </w:p>
    <w:p w:rsidR="004711C8" w:rsidRDefault="004711C8" w:rsidP="004711C8">
      <w:pPr>
        <w:adjustRightInd w:val="0"/>
        <w:snapToGrid w:val="0"/>
        <w:spacing w:line="560" w:lineRule="exact"/>
        <w:ind w:firstLineChars="200" w:firstLine="600"/>
        <w:rPr>
          <w:rFonts w:ascii="仿宋_GB2312" w:eastAsia="仿宋_GB2312" w:hAnsiTheme="minorEastAsia" w:cs="Times New Roman"/>
          <w:sz w:val="30"/>
          <w:szCs w:val="30"/>
        </w:rPr>
      </w:pPr>
      <w:r>
        <w:rPr>
          <w:rFonts w:ascii="仿宋_GB2312" w:eastAsia="仿宋_GB2312" w:hAnsiTheme="minorEastAsia" w:hint="eastAsia"/>
          <w:sz w:val="30"/>
          <w:szCs w:val="30"/>
        </w:rPr>
        <w:t>1.</w:t>
      </w:r>
      <w:r w:rsidR="002D429E">
        <w:rPr>
          <w:rFonts w:ascii="仿宋_GB2312" w:eastAsia="仿宋_GB2312" w:hAnsiTheme="minorEastAsia" w:hint="eastAsia"/>
          <w:sz w:val="30"/>
          <w:szCs w:val="30"/>
        </w:rPr>
        <w:t xml:space="preserve"> </w:t>
      </w:r>
      <w:r>
        <w:rPr>
          <w:rFonts w:ascii="仿宋_GB2312" w:eastAsia="仿宋_GB2312" w:hAnsiTheme="minorEastAsia" w:hint="eastAsia"/>
          <w:sz w:val="30"/>
          <w:szCs w:val="30"/>
        </w:rPr>
        <w:t>严格按照中国人民银行相关监管要求、交易商协会自律规则开展相关业务，依法合</w:t>
      </w:r>
      <w:proofErr w:type="gramStart"/>
      <w:r>
        <w:rPr>
          <w:rFonts w:ascii="仿宋_GB2312" w:eastAsia="仿宋_GB2312" w:hAnsiTheme="minorEastAsia" w:hint="eastAsia"/>
          <w:sz w:val="30"/>
          <w:szCs w:val="30"/>
        </w:rPr>
        <w:t>规</w:t>
      </w:r>
      <w:proofErr w:type="gramEnd"/>
      <w:r>
        <w:rPr>
          <w:rFonts w:ascii="仿宋_GB2312" w:eastAsia="仿宋_GB2312" w:hAnsiTheme="minorEastAsia" w:hint="eastAsia"/>
          <w:sz w:val="30"/>
          <w:szCs w:val="30"/>
        </w:rPr>
        <w:t>经营。</w:t>
      </w:r>
    </w:p>
    <w:p w:rsidR="004711C8" w:rsidRDefault="004711C8" w:rsidP="004711C8">
      <w:pPr>
        <w:adjustRightInd w:val="0"/>
        <w:snapToGrid w:val="0"/>
        <w:spacing w:line="56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2</w:t>
      </w:r>
      <w:r>
        <w:rPr>
          <w:rFonts w:ascii="仿宋_GB2312" w:eastAsia="仿宋_GB2312" w:hAnsi="宋体" w:cs="宋体" w:hint="eastAsia"/>
          <w:kern w:val="0"/>
          <w:sz w:val="30"/>
          <w:szCs w:val="30"/>
        </w:rPr>
        <w:t>．</w:t>
      </w:r>
      <w:r>
        <w:rPr>
          <w:rFonts w:ascii="仿宋_GB2312" w:eastAsia="仿宋_GB2312" w:hAnsiTheme="minorEastAsia" w:hint="eastAsia"/>
          <w:sz w:val="30"/>
          <w:szCs w:val="30"/>
        </w:rPr>
        <w:t>保证机构独立和业务独立，</w:t>
      </w:r>
      <w:r>
        <w:rPr>
          <w:rFonts w:ascii="仿宋_GB2312" w:eastAsia="仿宋_GB2312" w:hAnsi="宋体" w:cs="宋体" w:hint="eastAsia"/>
          <w:kern w:val="0"/>
          <w:sz w:val="30"/>
          <w:szCs w:val="30"/>
        </w:rPr>
        <w:t>独立、客观、公正地开展业务，并</w:t>
      </w:r>
      <w:r>
        <w:rPr>
          <w:rFonts w:ascii="仿宋_GB2312" w:eastAsia="仿宋_GB2312" w:hAnsiTheme="minorEastAsia" w:hint="eastAsia"/>
          <w:sz w:val="30"/>
          <w:szCs w:val="30"/>
        </w:rPr>
        <w:t>确保评级业务部门在业务、人员、档案管理上与市场部门和咨询业务等其他业务部门隔离。</w:t>
      </w:r>
    </w:p>
    <w:p w:rsidR="004711C8" w:rsidRDefault="004711C8" w:rsidP="004711C8">
      <w:pPr>
        <w:spacing w:line="560" w:lineRule="exact"/>
        <w:ind w:firstLine="601"/>
        <w:rPr>
          <w:rFonts w:ascii="仿宋_GB2312" w:eastAsia="仿宋_GB2312" w:hAnsiTheme="minorEastAsia"/>
          <w:sz w:val="30"/>
          <w:szCs w:val="30"/>
        </w:rPr>
      </w:pPr>
      <w:r>
        <w:rPr>
          <w:rFonts w:ascii="仿宋_GB2312" w:eastAsia="仿宋_GB2312" w:hAnsiTheme="minorEastAsia" w:hint="eastAsia"/>
          <w:sz w:val="30"/>
          <w:szCs w:val="30"/>
        </w:rPr>
        <w:t>3</w:t>
      </w:r>
      <w:r>
        <w:rPr>
          <w:rFonts w:ascii="仿宋_GB2312" w:eastAsia="仿宋_GB2312" w:hAnsi="宋体" w:cs="宋体" w:hint="eastAsia"/>
          <w:kern w:val="0"/>
          <w:sz w:val="30"/>
          <w:szCs w:val="30"/>
        </w:rPr>
        <w:t>．</w:t>
      </w:r>
      <w:r>
        <w:rPr>
          <w:rFonts w:ascii="仿宋_GB2312" w:eastAsia="仿宋_GB2312" w:hAnsiTheme="minorEastAsia" w:hint="eastAsia"/>
          <w:sz w:val="30"/>
          <w:szCs w:val="30"/>
        </w:rPr>
        <w:t>建立健全包括防火墙制度、回避制度、分析师轮换、离职人员追溯等在内的利益冲突防范机制，有效识别、防范和消除</w:t>
      </w:r>
      <w:r>
        <w:rPr>
          <w:rFonts w:ascii="仿宋_GB2312" w:eastAsia="仿宋_GB2312" w:hAnsiTheme="minorEastAsia" w:hint="eastAsia"/>
          <w:sz w:val="30"/>
          <w:szCs w:val="30"/>
        </w:rPr>
        <w:lastRenderedPageBreak/>
        <w:t>信用评级业务中产生的利益冲突</w:t>
      </w:r>
      <w:r>
        <w:rPr>
          <w:rFonts w:ascii="仿宋_GB2312" w:eastAsia="仿宋_GB2312" w:hAnsi="宋体" w:cs="宋体" w:hint="eastAsia"/>
          <w:kern w:val="0"/>
          <w:sz w:val="30"/>
          <w:szCs w:val="30"/>
        </w:rPr>
        <w:t>；</w:t>
      </w:r>
      <w:r>
        <w:rPr>
          <w:rFonts w:ascii="仿宋_GB2312" w:eastAsia="仿宋_GB2312" w:hAnsiTheme="minorEastAsia" w:hint="eastAsia"/>
          <w:sz w:val="30"/>
          <w:szCs w:val="30"/>
        </w:rPr>
        <w:t>无法有效消除的，应当及时披露实际及潜在的利益冲突、采取的措施及可能导致的后果。</w:t>
      </w:r>
    </w:p>
    <w:p w:rsidR="004711C8" w:rsidRDefault="004711C8" w:rsidP="004711C8">
      <w:pPr>
        <w:adjustRightInd w:val="0"/>
        <w:snapToGrid w:val="0"/>
        <w:spacing w:line="560" w:lineRule="exact"/>
        <w:ind w:firstLine="601"/>
        <w:rPr>
          <w:rFonts w:ascii="仿宋_GB2312" w:eastAsia="仿宋_GB2312" w:hAnsiTheme="minorEastAsia"/>
          <w:sz w:val="30"/>
          <w:szCs w:val="30"/>
        </w:rPr>
      </w:pPr>
      <w:r>
        <w:rPr>
          <w:rFonts w:ascii="仿宋_GB2312" w:eastAsia="仿宋_GB2312" w:hAnsiTheme="minorEastAsia" w:hint="eastAsia"/>
          <w:sz w:val="30"/>
          <w:szCs w:val="30"/>
        </w:rPr>
        <w:t>4．提高信用评级的透明度，按照相关规则和监管要求充分披露评级方法、评级模型和评级结果等相关信息，保证披露信息的真实、准确、完整、及时、公平，并自觉接受社会公众监督。</w:t>
      </w:r>
    </w:p>
    <w:p w:rsidR="004711C8" w:rsidRDefault="004711C8" w:rsidP="004711C8">
      <w:pPr>
        <w:adjustRightInd w:val="0"/>
        <w:snapToGrid w:val="0"/>
        <w:spacing w:line="56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5．评级业务开展应遵循一致性原则，对同一类型或同一个评级对象的评级应当采用一致的评级程序和标准，且应当与本机构披露的程序和标准保持一致。</w:t>
      </w:r>
    </w:p>
    <w:p w:rsidR="004711C8" w:rsidRDefault="004711C8" w:rsidP="004711C8">
      <w:pPr>
        <w:adjustRightInd w:val="0"/>
        <w:snapToGrid w:val="0"/>
        <w:spacing w:line="560" w:lineRule="exact"/>
        <w:ind w:firstLineChars="200" w:firstLine="600"/>
        <w:rPr>
          <w:rFonts w:ascii="仿宋_GB2312" w:eastAsia="仿宋_GB2312" w:hAnsiTheme="minorEastAsia"/>
          <w:sz w:val="30"/>
          <w:szCs w:val="30"/>
        </w:rPr>
      </w:pPr>
      <w:r>
        <w:rPr>
          <w:rFonts w:ascii="仿宋_GB2312" w:eastAsia="仿宋_GB2312" w:hAnsiTheme="minorEastAsia" w:hint="eastAsia"/>
          <w:sz w:val="30"/>
          <w:szCs w:val="30"/>
        </w:rPr>
        <w:t>6</w:t>
      </w:r>
      <w:r>
        <w:rPr>
          <w:rFonts w:ascii="仿宋_GB2312" w:eastAsia="仿宋_GB2312" w:hAnsi="宋体" w:cs="宋体" w:hint="eastAsia"/>
          <w:kern w:val="0"/>
          <w:sz w:val="30"/>
          <w:szCs w:val="30"/>
        </w:rPr>
        <w:t>．</w:t>
      </w:r>
      <w:r>
        <w:rPr>
          <w:rFonts w:ascii="仿宋_GB2312" w:eastAsia="仿宋_GB2312" w:hAnsiTheme="minorEastAsia" w:hint="eastAsia"/>
          <w:sz w:val="30"/>
          <w:szCs w:val="30"/>
        </w:rPr>
        <w:t>建立并完善评级质量控制机制，保证评级资料及时、完整、可靠；采信其他中介服务机构出具相关材料的，应当在合理知识水平和能力范畴内对其真实性和准确性进行检验。</w:t>
      </w:r>
    </w:p>
    <w:p w:rsidR="004711C8" w:rsidRDefault="004711C8" w:rsidP="004711C8">
      <w:pPr>
        <w:spacing w:line="560" w:lineRule="exact"/>
        <w:jc w:val="center"/>
        <w:rPr>
          <w:rFonts w:ascii="仿宋_GB2312" w:eastAsia="仿宋_GB2312" w:hAnsi="宋体" w:cs="宋体"/>
          <w:b/>
          <w:kern w:val="0"/>
          <w:sz w:val="30"/>
          <w:szCs w:val="30"/>
        </w:rPr>
      </w:pPr>
      <w:r>
        <w:rPr>
          <w:rFonts w:ascii="仿宋_GB2312" w:eastAsia="仿宋_GB2312" w:hAnsi="宋体" w:cs="宋体" w:hint="eastAsia"/>
          <w:b/>
          <w:kern w:val="0"/>
          <w:sz w:val="30"/>
          <w:szCs w:val="30"/>
        </w:rPr>
        <w:t>第三章 公约执行</w:t>
      </w:r>
    </w:p>
    <w:p w:rsidR="004711C8" w:rsidRDefault="004711C8" w:rsidP="004711C8">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第七条  交易商协会负责组织实施本公约，对评级机构遵守本公约的情况进行监督检查。对违反本公约，造成不良影响，经查证属实的评级机构，交易商协会有权根据《非金融企业债务融资工具市场自律处分规则》等有关规定进行自律处分，并将处分结果报中国人民银行。涉嫌违法违规的，交易商协会可移交有关部门进一步处理。</w:t>
      </w:r>
    </w:p>
    <w:p w:rsidR="004711C8" w:rsidRDefault="004711C8" w:rsidP="004711C8">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第八条  评级机构应充分理解并自觉履行本公约的各项自律规则，接受并配合交易商协会开展自律调查工作。如违反本公约，自愿接受交易商协会自律处分。</w:t>
      </w:r>
    </w:p>
    <w:p w:rsidR="004711C8" w:rsidRDefault="004711C8" w:rsidP="004711C8">
      <w:pPr>
        <w:spacing w:line="560" w:lineRule="exact"/>
        <w:ind w:firstLineChars="200" w:firstLine="600"/>
        <w:rPr>
          <w:rFonts w:ascii="仿宋_GB2312" w:eastAsia="仿宋_GB2312" w:hAnsi="宋体" w:cs="宋体"/>
          <w:b/>
          <w:kern w:val="0"/>
          <w:sz w:val="30"/>
          <w:szCs w:val="30"/>
        </w:rPr>
      </w:pPr>
      <w:r>
        <w:rPr>
          <w:rFonts w:ascii="仿宋_GB2312" w:eastAsia="仿宋_GB2312" w:hAnsi="宋体" w:cs="宋体" w:hint="eastAsia"/>
          <w:kern w:val="0"/>
          <w:sz w:val="30"/>
          <w:szCs w:val="30"/>
        </w:rPr>
        <w:t>其中，对于违反公约第五条的行为，情节较重的，自愿接受包括警告、严重警告、公开谴责、暂停相关业务、暂停会员权利、认定不适当人选或取消会员资格等自律处分决定。</w:t>
      </w:r>
    </w:p>
    <w:p w:rsidR="004711C8" w:rsidRDefault="004711C8" w:rsidP="004711C8">
      <w:pPr>
        <w:spacing w:line="560" w:lineRule="exact"/>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第九条  交易商协会鼓励公约成员单位互相监督。公约成员单位违反本公约的，任何单位和个人均有权向交易商协会进行举报；交易商协会也可以定期或不定期开展调查。</w:t>
      </w:r>
    </w:p>
    <w:p w:rsidR="004711C8" w:rsidRDefault="004711C8" w:rsidP="004711C8">
      <w:pPr>
        <w:spacing w:line="560" w:lineRule="exact"/>
        <w:jc w:val="center"/>
        <w:rPr>
          <w:rFonts w:ascii="仿宋_GB2312" w:eastAsia="仿宋_GB2312" w:hAnsi="宋体" w:cs="宋体"/>
          <w:b/>
          <w:kern w:val="0"/>
          <w:sz w:val="30"/>
          <w:szCs w:val="30"/>
        </w:rPr>
      </w:pPr>
      <w:r>
        <w:rPr>
          <w:rFonts w:ascii="仿宋_GB2312" w:eastAsia="仿宋_GB2312" w:hAnsi="宋体" w:cs="宋体" w:hint="eastAsia"/>
          <w:b/>
          <w:kern w:val="0"/>
          <w:sz w:val="30"/>
          <w:szCs w:val="30"/>
        </w:rPr>
        <w:t>第四章 附 则</w:t>
      </w:r>
    </w:p>
    <w:p w:rsidR="004711C8" w:rsidRDefault="004711C8" w:rsidP="004711C8">
      <w:pPr>
        <w:widowControl/>
        <w:adjustRightInd w:val="0"/>
        <w:snapToGrid w:val="0"/>
        <w:spacing w:line="560" w:lineRule="exact"/>
        <w:jc w:val="left"/>
        <w:rPr>
          <w:rFonts w:ascii="仿宋_GB2312" w:eastAsia="仿宋_GB2312" w:hAnsi="仿宋_GB2312" w:cs="仿宋_GB2312"/>
          <w:sz w:val="30"/>
          <w:szCs w:val="30"/>
        </w:rPr>
      </w:pPr>
      <w:r>
        <w:rPr>
          <w:rFonts w:ascii="仿宋_GB2312" w:eastAsia="仿宋_GB2312" w:hAnsi="宋体" w:cs="宋体" w:hint="eastAsia"/>
          <w:kern w:val="0"/>
          <w:sz w:val="30"/>
          <w:szCs w:val="30"/>
        </w:rPr>
        <w:t xml:space="preserve">    第十条  本公约生效期间，根据实际需要，公约成员单位可以对公约提出修改意见，经广泛征求意见后，对本公约进行修改。</w:t>
      </w:r>
    </w:p>
    <w:p w:rsidR="000013BC" w:rsidRPr="004711C8" w:rsidRDefault="000013BC" w:rsidP="009C39E3">
      <w:pPr>
        <w:widowControl/>
        <w:spacing w:line="315" w:lineRule="atLeast"/>
        <w:ind w:firstLine="600"/>
        <w:rPr>
          <w:rFonts w:ascii="仿宋_GB2312" w:eastAsia="仿宋_GB2312" w:hAnsi="宋体" w:cs="宋体"/>
          <w:sz w:val="30"/>
          <w:szCs w:val="30"/>
        </w:rPr>
      </w:pPr>
    </w:p>
    <w:p w:rsidR="00000000" w:rsidRDefault="002D429E">
      <w:pPr>
        <w:widowControl/>
        <w:spacing w:line="315" w:lineRule="atLeast"/>
        <w:ind w:firstLine="600"/>
        <w:rPr>
          <w:szCs w:val="36"/>
        </w:rPr>
      </w:pPr>
    </w:p>
    <w:sectPr w:rsidR="00000000" w:rsidSect="00804467">
      <w:footerReference w:type="even"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81C" w:rsidRDefault="00A7281C" w:rsidP="00115490">
      <w:pPr>
        <w:ind w:firstLine="560"/>
      </w:pPr>
      <w:r>
        <w:separator/>
      </w:r>
    </w:p>
  </w:endnote>
  <w:endnote w:type="continuationSeparator" w:id="0">
    <w:p w:rsidR="00A7281C" w:rsidRDefault="00A7281C" w:rsidP="00115490">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C6" w:rsidRDefault="006D17C6">
    <w:pPr>
      <w:pStyle w:val="a5"/>
    </w:pPr>
  </w:p>
  <w:p w:rsidR="006D17C6" w:rsidRDefault="006D17C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81C" w:rsidRDefault="00A7281C" w:rsidP="00115490">
      <w:pPr>
        <w:ind w:firstLine="560"/>
      </w:pPr>
      <w:r>
        <w:separator/>
      </w:r>
    </w:p>
  </w:footnote>
  <w:footnote w:type="continuationSeparator" w:id="0">
    <w:p w:rsidR="00A7281C" w:rsidRDefault="00A7281C" w:rsidP="00115490">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01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06C1"/>
    <w:rsid w:val="000013BC"/>
    <w:rsid w:val="00007497"/>
    <w:rsid w:val="000165D4"/>
    <w:rsid w:val="00091A00"/>
    <w:rsid w:val="00115490"/>
    <w:rsid w:val="00137DF2"/>
    <w:rsid w:val="00170B5B"/>
    <w:rsid w:val="00177985"/>
    <w:rsid w:val="00203698"/>
    <w:rsid w:val="00283FD6"/>
    <w:rsid w:val="0029115D"/>
    <w:rsid w:val="002B064E"/>
    <w:rsid w:val="002D429E"/>
    <w:rsid w:val="002E7B6E"/>
    <w:rsid w:val="00304630"/>
    <w:rsid w:val="0033429C"/>
    <w:rsid w:val="00344D4A"/>
    <w:rsid w:val="00350D5F"/>
    <w:rsid w:val="00355446"/>
    <w:rsid w:val="00395EFA"/>
    <w:rsid w:val="003C4E53"/>
    <w:rsid w:val="00416FD7"/>
    <w:rsid w:val="004711C8"/>
    <w:rsid w:val="004C2FD5"/>
    <w:rsid w:val="0050198C"/>
    <w:rsid w:val="00505449"/>
    <w:rsid w:val="0055461B"/>
    <w:rsid w:val="006D17C6"/>
    <w:rsid w:val="006D2584"/>
    <w:rsid w:val="00703FFB"/>
    <w:rsid w:val="00792F25"/>
    <w:rsid w:val="00795664"/>
    <w:rsid w:val="00797410"/>
    <w:rsid w:val="007A2577"/>
    <w:rsid w:val="007B48B3"/>
    <w:rsid w:val="007D18B9"/>
    <w:rsid w:val="007F2135"/>
    <w:rsid w:val="00804467"/>
    <w:rsid w:val="00815ABC"/>
    <w:rsid w:val="008231D6"/>
    <w:rsid w:val="0086276D"/>
    <w:rsid w:val="0092053A"/>
    <w:rsid w:val="0098442A"/>
    <w:rsid w:val="009B4F50"/>
    <w:rsid w:val="009C39E3"/>
    <w:rsid w:val="009E20A0"/>
    <w:rsid w:val="009F393F"/>
    <w:rsid w:val="00A06B46"/>
    <w:rsid w:val="00A2768C"/>
    <w:rsid w:val="00A31972"/>
    <w:rsid w:val="00A53B85"/>
    <w:rsid w:val="00A574D2"/>
    <w:rsid w:val="00A7281C"/>
    <w:rsid w:val="00AD583F"/>
    <w:rsid w:val="00B073A9"/>
    <w:rsid w:val="00B6535B"/>
    <w:rsid w:val="00B706C1"/>
    <w:rsid w:val="00BF7B0E"/>
    <w:rsid w:val="00C77AF7"/>
    <w:rsid w:val="00CD5D45"/>
    <w:rsid w:val="00D346A2"/>
    <w:rsid w:val="00D36A22"/>
    <w:rsid w:val="00E613AE"/>
    <w:rsid w:val="00E76571"/>
    <w:rsid w:val="00E9085F"/>
    <w:rsid w:val="00F62E27"/>
    <w:rsid w:val="00FB29EC"/>
    <w:rsid w:val="00FC03DA"/>
    <w:rsid w:val="00FE4F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D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06C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1154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15490"/>
    <w:rPr>
      <w:sz w:val="18"/>
      <w:szCs w:val="18"/>
    </w:rPr>
  </w:style>
  <w:style w:type="paragraph" w:styleId="a5">
    <w:name w:val="footer"/>
    <w:basedOn w:val="a"/>
    <w:link w:val="Char0"/>
    <w:uiPriority w:val="99"/>
    <w:unhideWhenUsed/>
    <w:rsid w:val="00115490"/>
    <w:pPr>
      <w:tabs>
        <w:tab w:val="center" w:pos="4153"/>
        <w:tab w:val="right" w:pos="8306"/>
      </w:tabs>
      <w:snapToGrid w:val="0"/>
      <w:jc w:val="left"/>
    </w:pPr>
    <w:rPr>
      <w:sz w:val="18"/>
      <w:szCs w:val="18"/>
    </w:rPr>
  </w:style>
  <w:style w:type="character" w:customStyle="1" w:styleId="Char0">
    <w:name w:val="页脚 Char"/>
    <w:basedOn w:val="a0"/>
    <w:link w:val="a5"/>
    <w:uiPriority w:val="99"/>
    <w:rsid w:val="00115490"/>
    <w:rPr>
      <w:sz w:val="18"/>
      <w:szCs w:val="18"/>
    </w:rPr>
  </w:style>
  <w:style w:type="table" w:styleId="a6">
    <w:name w:val="Table Grid"/>
    <w:basedOn w:val="a1"/>
    <w:uiPriority w:val="59"/>
    <w:rsid w:val="0000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A53B85"/>
    <w:rPr>
      <w:sz w:val="18"/>
      <w:szCs w:val="18"/>
    </w:rPr>
  </w:style>
  <w:style w:type="character" w:customStyle="1" w:styleId="Char1">
    <w:name w:val="批注框文本 Char"/>
    <w:basedOn w:val="a0"/>
    <w:link w:val="a7"/>
    <w:uiPriority w:val="99"/>
    <w:semiHidden/>
    <w:rsid w:val="00A53B85"/>
    <w:rPr>
      <w:sz w:val="18"/>
      <w:szCs w:val="18"/>
    </w:rPr>
  </w:style>
</w:styles>
</file>

<file path=word/webSettings.xml><?xml version="1.0" encoding="utf-8"?>
<w:webSettings xmlns:r="http://schemas.openxmlformats.org/officeDocument/2006/relationships" xmlns:w="http://schemas.openxmlformats.org/wordprocessingml/2006/main">
  <w:divs>
    <w:div w:id="1003170930">
      <w:bodyDiv w:val="1"/>
      <w:marLeft w:val="0"/>
      <w:marRight w:val="0"/>
      <w:marTop w:val="0"/>
      <w:marBottom w:val="0"/>
      <w:divBdr>
        <w:top w:val="none" w:sz="0" w:space="0" w:color="auto"/>
        <w:left w:val="none" w:sz="0" w:space="0" w:color="auto"/>
        <w:bottom w:val="none" w:sz="0" w:space="0" w:color="auto"/>
        <w:right w:val="none" w:sz="0" w:space="0" w:color="auto"/>
      </w:divBdr>
    </w:div>
    <w:div w:id="194229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8DD68-5FBE-47D5-B92D-0A76A68A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267</Words>
  <Characters>1526</Characters>
  <Application>Microsoft Office Word</Application>
  <DocSecurity>0</DocSecurity>
  <Lines>12</Lines>
  <Paragraphs>3</Paragraphs>
  <ScaleCrop>false</ScaleCrop>
  <Company>Microsoft</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2018-03-26T06:58:00Z</cp:lastPrinted>
  <dcterms:created xsi:type="dcterms:W3CDTF">2018-03-26T06:44:00Z</dcterms:created>
  <dcterms:modified xsi:type="dcterms:W3CDTF">2018-03-26T07:58:00Z</dcterms:modified>
</cp:coreProperties>
</file>