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4E3A5" w14:textId="77777777" w:rsidR="00324AC3" w:rsidRPr="00B654D8" w:rsidRDefault="00324AC3" w:rsidP="00324AC3">
      <w:pPr>
        <w:jc w:val="center"/>
        <w:rPr>
          <w:rFonts w:ascii="Times New Roman" w:hAnsi="Times New Roman" w:cs="Times New Roman"/>
          <w:b/>
          <w:sz w:val="48"/>
        </w:rPr>
      </w:pPr>
      <w:bookmarkStart w:id="0" w:name="_Toc123112222"/>
      <w:bookmarkStart w:id="1" w:name="_Toc123112261"/>
      <w:bookmarkStart w:id="2" w:name="_Toc123701381"/>
      <w:bookmarkStart w:id="3" w:name="_Toc139991724"/>
      <w:bookmarkStart w:id="4" w:name="_Toc139992299"/>
    </w:p>
    <w:p w14:paraId="1F2E11FA" w14:textId="77777777" w:rsidR="00324AC3" w:rsidRPr="00B654D8" w:rsidRDefault="00324AC3">
      <w:pPr>
        <w:rPr>
          <w:rFonts w:ascii="Times New Roman" w:eastAsia="宋体" w:hAnsi="Times New Roman" w:cs="Times New Roman"/>
          <w:b/>
          <w:sz w:val="48"/>
        </w:rPr>
      </w:pPr>
    </w:p>
    <w:p w14:paraId="5D0AB0E1" w14:textId="77777777" w:rsidR="00ED46CC" w:rsidRPr="00B654D8" w:rsidRDefault="00ED46CC" w:rsidP="00ED46CC">
      <w:pPr>
        <w:jc w:val="center"/>
        <w:rPr>
          <w:rFonts w:ascii="Times New Roman" w:eastAsia="宋体" w:hAnsi="Times New Roman" w:cs="Times New Roman"/>
          <w:b/>
          <w:sz w:val="52"/>
        </w:rPr>
      </w:pPr>
      <w:r w:rsidRPr="00B654D8">
        <w:rPr>
          <w:rFonts w:ascii="Times New Roman" w:eastAsia="宋体" w:hAnsi="Times New Roman" w:cs="Times New Roman"/>
          <w:b/>
          <w:sz w:val="52"/>
        </w:rPr>
        <w:t>建信基金管理有限责任公司</w:t>
      </w:r>
    </w:p>
    <w:p w14:paraId="45745FEA" w14:textId="77777777" w:rsidR="00324AC3" w:rsidRPr="00B654D8" w:rsidRDefault="00324AC3">
      <w:pPr>
        <w:rPr>
          <w:rFonts w:ascii="Times New Roman" w:eastAsia="宋体" w:hAnsi="Times New Roman" w:cs="Times New Roman"/>
          <w:b/>
          <w:sz w:val="48"/>
        </w:rPr>
      </w:pPr>
    </w:p>
    <w:p w14:paraId="1C906169" w14:textId="77777777" w:rsidR="00324AC3" w:rsidRPr="00B654D8" w:rsidRDefault="00324AC3">
      <w:pPr>
        <w:rPr>
          <w:rFonts w:ascii="Times New Roman" w:eastAsia="宋体" w:hAnsi="Times New Roman" w:cs="Times New Roman"/>
          <w:b/>
          <w:sz w:val="48"/>
        </w:rPr>
      </w:pPr>
    </w:p>
    <w:p w14:paraId="69F5C4F8" w14:textId="77777777" w:rsidR="00324AC3" w:rsidRPr="00B654D8" w:rsidRDefault="00324AC3">
      <w:pPr>
        <w:rPr>
          <w:rFonts w:ascii="Times New Roman" w:eastAsia="宋体" w:hAnsi="Times New Roman" w:cs="Times New Roman"/>
          <w:b/>
          <w:sz w:val="48"/>
        </w:rPr>
      </w:pPr>
    </w:p>
    <w:bookmarkEnd w:id="0"/>
    <w:bookmarkEnd w:id="1"/>
    <w:bookmarkEnd w:id="2"/>
    <w:bookmarkEnd w:id="3"/>
    <w:bookmarkEnd w:id="4"/>
    <w:p w14:paraId="14925768" w14:textId="1D82B8D9" w:rsidR="00282B69" w:rsidRPr="00B654D8" w:rsidRDefault="00C12046" w:rsidP="00324AC3">
      <w:pPr>
        <w:jc w:val="center"/>
        <w:rPr>
          <w:rFonts w:ascii="Times New Roman" w:eastAsia="宋体" w:hAnsi="Times New Roman" w:cs="Times New Roman"/>
          <w:b/>
          <w:sz w:val="48"/>
        </w:rPr>
      </w:pPr>
      <w:r>
        <w:rPr>
          <w:rFonts w:ascii="Times New Roman" w:eastAsia="宋体" w:hAnsi="Times New Roman" w:cs="Times New Roman"/>
          <w:b/>
          <w:sz w:val="48"/>
        </w:rPr>
        <w:t>建</w:t>
      </w:r>
      <w:proofErr w:type="gramStart"/>
      <w:r>
        <w:rPr>
          <w:rFonts w:ascii="Times New Roman" w:eastAsia="宋体" w:hAnsi="Times New Roman" w:cs="Times New Roman"/>
          <w:b/>
          <w:sz w:val="48"/>
        </w:rPr>
        <w:t>信优享</w:t>
      </w:r>
      <w:proofErr w:type="gramEnd"/>
      <w:r>
        <w:rPr>
          <w:rFonts w:ascii="Times New Roman" w:eastAsia="宋体" w:hAnsi="Times New Roman" w:cs="Times New Roman"/>
          <w:b/>
          <w:sz w:val="48"/>
        </w:rPr>
        <w:t>稳健养老目标一年持有期混合型基金中基金（</w:t>
      </w:r>
      <w:r>
        <w:rPr>
          <w:rFonts w:ascii="Times New Roman" w:eastAsia="宋体" w:hAnsi="Times New Roman" w:cs="Times New Roman"/>
          <w:b/>
          <w:sz w:val="48"/>
        </w:rPr>
        <w:t>FOF</w:t>
      </w:r>
      <w:r>
        <w:rPr>
          <w:rFonts w:ascii="Times New Roman" w:eastAsia="宋体" w:hAnsi="Times New Roman" w:cs="Times New Roman"/>
          <w:b/>
          <w:sz w:val="48"/>
        </w:rPr>
        <w:t>）</w:t>
      </w:r>
      <w:r w:rsidR="00324AC3" w:rsidRPr="00B654D8">
        <w:rPr>
          <w:rFonts w:ascii="Times New Roman" w:eastAsia="宋体" w:hAnsi="Times New Roman" w:cs="Times New Roman"/>
          <w:b/>
          <w:sz w:val="48"/>
        </w:rPr>
        <w:t>风险揭示书</w:t>
      </w:r>
    </w:p>
    <w:p w14:paraId="26B5DC33" w14:textId="77777777" w:rsidR="00282B69" w:rsidRPr="00B654D8" w:rsidRDefault="00282B69" w:rsidP="00324AC3">
      <w:pPr>
        <w:jc w:val="center"/>
        <w:rPr>
          <w:rFonts w:ascii="Times New Roman" w:eastAsia="宋体" w:hAnsi="Times New Roman" w:cs="Times New Roman"/>
          <w:b/>
          <w:sz w:val="48"/>
        </w:rPr>
      </w:pPr>
    </w:p>
    <w:p w14:paraId="29CD4F3E" w14:textId="77777777" w:rsidR="00282B69" w:rsidRPr="00B654D8" w:rsidRDefault="00282B69" w:rsidP="00324AC3">
      <w:pPr>
        <w:jc w:val="center"/>
        <w:rPr>
          <w:rFonts w:ascii="Times New Roman" w:eastAsia="宋体" w:hAnsi="Times New Roman" w:cs="Times New Roman"/>
          <w:b/>
          <w:sz w:val="48"/>
        </w:rPr>
      </w:pPr>
    </w:p>
    <w:p w14:paraId="16F9ECE4" w14:textId="77777777" w:rsidR="00ED46CC" w:rsidRPr="00B654D8" w:rsidRDefault="00ED46CC" w:rsidP="00324AC3">
      <w:pPr>
        <w:jc w:val="center"/>
        <w:rPr>
          <w:rFonts w:ascii="Times New Roman" w:eastAsia="宋体" w:hAnsi="Times New Roman" w:cs="Times New Roman"/>
          <w:b/>
          <w:sz w:val="48"/>
        </w:rPr>
      </w:pPr>
    </w:p>
    <w:p w14:paraId="0D01A0AD" w14:textId="77777777" w:rsidR="00ED46CC" w:rsidRPr="00B654D8" w:rsidRDefault="00ED46CC" w:rsidP="00324AC3">
      <w:pPr>
        <w:jc w:val="center"/>
        <w:rPr>
          <w:rFonts w:ascii="Times New Roman" w:eastAsia="宋体" w:hAnsi="Times New Roman" w:cs="Times New Roman"/>
          <w:b/>
          <w:sz w:val="48"/>
        </w:rPr>
      </w:pPr>
    </w:p>
    <w:p w14:paraId="7E30A278" w14:textId="77777777" w:rsidR="00ED46CC" w:rsidRPr="00B654D8" w:rsidRDefault="00ED46CC" w:rsidP="00324AC3">
      <w:pPr>
        <w:jc w:val="center"/>
        <w:rPr>
          <w:rFonts w:ascii="Times New Roman" w:eastAsia="宋体" w:hAnsi="Times New Roman" w:cs="Times New Roman"/>
          <w:b/>
          <w:sz w:val="48"/>
        </w:rPr>
      </w:pPr>
    </w:p>
    <w:p w14:paraId="2AD5C3AA" w14:textId="77777777" w:rsidR="00ED46CC" w:rsidRPr="00B654D8" w:rsidRDefault="00ED46CC" w:rsidP="00324AC3">
      <w:pPr>
        <w:jc w:val="center"/>
        <w:rPr>
          <w:rFonts w:ascii="Times New Roman" w:eastAsia="宋体" w:hAnsi="Times New Roman" w:cs="Times New Roman"/>
          <w:b/>
          <w:sz w:val="48"/>
        </w:rPr>
      </w:pPr>
    </w:p>
    <w:p w14:paraId="7E9572D2" w14:textId="77777777" w:rsidR="00ED46CC" w:rsidRPr="00B654D8" w:rsidRDefault="00ED46CC" w:rsidP="00ED46CC">
      <w:pPr>
        <w:jc w:val="center"/>
        <w:rPr>
          <w:rFonts w:ascii="Times New Roman" w:eastAsia="宋体" w:hAnsi="Times New Roman" w:cs="Times New Roman"/>
          <w:b/>
          <w:sz w:val="36"/>
        </w:rPr>
      </w:pPr>
      <w:bookmarkStart w:id="5" w:name="_Toc139992301"/>
      <w:bookmarkStart w:id="6" w:name="_Toc139991726"/>
      <w:bookmarkStart w:id="7" w:name="_Toc123701383"/>
      <w:bookmarkStart w:id="8" w:name="_Toc123112263"/>
      <w:bookmarkStart w:id="9" w:name="_Toc123112224"/>
      <w:r w:rsidRPr="00B654D8">
        <w:rPr>
          <w:rFonts w:ascii="Times New Roman" w:eastAsia="宋体" w:hAnsi="Times New Roman" w:cs="Times New Roman"/>
          <w:b/>
          <w:sz w:val="36"/>
        </w:rPr>
        <w:t>基金管理人：建信基金管理有限责任公司</w:t>
      </w:r>
      <w:bookmarkEnd w:id="5"/>
      <w:bookmarkEnd w:id="6"/>
      <w:bookmarkEnd w:id="7"/>
      <w:bookmarkEnd w:id="8"/>
      <w:bookmarkEnd w:id="9"/>
    </w:p>
    <w:p w14:paraId="4662D05C" w14:textId="77777777" w:rsidR="00ED46CC" w:rsidRPr="00B654D8" w:rsidRDefault="00ED46CC" w:rsidP="00ED46CC">
      <w:pPr>
        <w:jc w:val="center"/>
        <w:rPr>
          <w:rFonts w:ascii="Times New Roman" w:eastAsia="宋体" w:hAnsi="Times New Roman" w:cs="Times New Roman"/>
          <w:b/>
          <w:sz w:val="36"/>
        </w:rPr>
      </w:pPr>
      <w:bookmarkStart w:id="10" w:name="_Toc123112225"/>
      <w:bookmarkStart w:id="11" w:name="_Toc123112264"/>
      <w:bookmarkStart w:id="12" w:name="_Toc123701384"/>
      <w:bookmarkStart w:id="13" w:name="_Toc139991727"/>
      <w:bookmarkStart w:id="14" w:name="_Toc139992302"/>
      <w:r w:rsidRPr="00B654D8">
        <w:rPr>
          <w:rFonts w:ascii="Times New Roman" w:eastAsia="宋体" w:hAnsi="Times New Roman" w:cs="Times New Roman"/>
          <w:b/>
          <w:sz w:val="36"/>
        </w:rPr>
        <w:t>基金托管人：</w:t>
      </w:r>
      <w:bookmarkEnd w:id="10"/>
      <w:bookmarkEnd w:id="11"/>
      <w:bookmarkEnd w:id="12"/>
      <w:bookmarkEnd w:id="13"/>
      <w:bookmarkEnd w:id="14"/>
      <w:r w:rsidRPr="00B654D8">
        <w:rPr>
          <w:rFonts w:ascii="Times New Roman" w:eastAsia="宋体" w:hAnsi="Times New Roman" w:cs="Times New Roman"/>
          <w:b/>
          <w:sz w:val="36"/>
        </w:rPr>
        <w:t>中国农业银行股份有限公司</w:t>
      </w:r>
    </w:p>
    <w:p w14:paraId="57E02CD1" w14:textId="77777777" w:rsidR="00ED46CC" w:rsidRPr="00B654D8" w:rsidRDefault="00ED46CC" w:rsidP="00ED46CC">
      <w:pPr>
        <w:jc w:val="center"/>
        <w:rPr>
          <w:rFonts w:ascii="Times New Roman" w:eastAsia="宋体" w:hAnsi="Times New Roman" w:cs="Times New Roman"/>
          <w:bCs/>
          <w:sz w:val="32"/>
        </w:rPr>
      </w:pPr>
    </w:p>
    <w:p w14:paraId="127DC905" w14:textId="77777777" w:rsidR="00ED46CC" w:rsidRPr="00B654D8" w:rsidRDefault="00ED46CC" w:rsidP="00324AC3">
      <w:pPr>
        <w:jc w:val="center"/>
        <w:rPr>
          <w:rFonts w:ascii="Times New Roman" w:eastAsia="宋体" w:hAnsi="Times New Roman" w:cs="Times New Roman"/>
          <w:b/>
          <w:sz w:val="48"/>
        </w:rPr>
      </w:pPr>
    </w:p>
    <w:p w14:paraId="1D60C8E7" w14:textId="77777777" w:rsidR="00282B69" w:rsidRPr="00B654D8" w:rsidRDefault="00282B69">
      <w:pPr>
        <w:widowControl/>
        <w:jc w:val="left"/>
        <w:rPr>
          <w:rFonts w:ascii="Times New Roman" w:eastAsia="宋体" w:hAnsi="Times New Roman" w:cs="Times New Roman"/>
          <w:b/>
          <w:sz w:val="48"/>
        </w:rPr>
      </w:pPr>
      <w:r w:rsidRPr="00B654D8">
        <w:rPr>
          <w:rFonts w:ascii="Times New Roman" w:eastAsia="宋体" w:hAnsi="Times New Roman" w:cs="Times New Roman"/>
          <w:b/>
          <w:sz w:val="48"/>
        </w:rPr>
        <w:br w:type="page"/>
      </w:r>
    </w:p>
    <w:p w14:paraId="661CBC77" w14:textId="06E073D7" w:rsidR="00557099" w:rsidRPr="00CA7786" w:rsidRDefault="00557099" w:rsidP="00CA7786">
      <w:pPr>
        <w:tabs>
          <w:tab w:val="num" w:pos="900"/>
        </w:tabs>
        <w:spacing w:line="360" w:lineRule="auto"/>
        <w:ind w:firstLineChars="200" w:firstLine="482"/>
        <w:rPr>
          <w:rFonts w:ascii="Times New Roman" w:eastAsia="宋体" w:hAnsi="Times New Roman" w:cs="Times New Roman"/>
          <w:b/>
          <w:kern w:val="0"/>
          <w:sz w:val="24"/>
        </w:rPr>
      </w:pPr>
      <w:r w:rsidRPr="00CA7786">
        <w:rPr>
          <w:rFonts w:ascii="Times New Roman" w:eastAsia="宋体" w:hAnsi="Times New Roman" w:cs="Times New Roman" w:hint="eastAsia"/>
          <w:b/>
          <w:kern w:val="0"/>
          <w:sz w:val="24"/>
        </w:rPr>
        <w:lastRenderedPageBreak/>
        <w:t>一、重要提示</w:t>
      </w:r>
    </w:p>
    <w:p w14:paraId="63610A24" w14:textId="20A52CDB" w:rsidR="00826424" w:rsidRDefault="00E96CE6" w:rsidP="00CA7786">
      <w:pPr>
        <w:tabs>
          <w:tab w:val="num" w:pos="900"/>
        </w:tabs>
        <w:spacing w:line="360"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kern w:val="0"/>
          <w:sz w:val="24"/>
        </w:rPr>
        <w:t>1</w:t>
      </w:r>
      <w:r>
        <w:rPr>
          <w:rFonts w:ascii="Times New Roman" w:eastAsia="宋体" w:hAnsi="Times New Roman" w:cs="Times New Roman" w:hint="eastAsia"/>
          <w:kern w:val="0"/>
          <w:sz w:val="24"/>
        </w:rPr>
        <w:t>、</w:t>
      </w:r>
      <w:r w:rsidR="00C12046">
        <w:rPr>
          <w:rFonts w:ascii="Times New Roman" w:eastAsia="宋体" w:hAnsi="Times New Roman" w:cs="Times New Roman"/>
          <w:kern w:val="0"/>
          <w:sz w:val="24"/>
        </w:rPr>
        <w:t>建</w:t>
      </w:r>
      <w:proofErr w:type="gramStart"/>
      <w:r w:rsidR="00C12046">
        <w:rPr>
          <w:rFonts w:ascii="Times New Roman" w:eastAsia="宋体" w:hAnsi="Times New Roman" w:cs="Times New Roman"/>
          <w:kern w:val="0"/>
          <w:sz w:val="24"/>
        </w:rPr>
        <w:t>信优享</w:t>
      </w:r>
      <w:proofErr w:type="gramEnd"/>
      <w:r w:rsidR="00C12046">
        <w:rPr>
          <w:rFonts w:ascii="Times New Roman" w:eastAsia="宋体" w:hAnsi="Times New Roman" w:cs="Times New Roman"/>
          <w:kern w:val="0"/>
          <w:sz w:val="24"/>
        </w:rPr>
        <w:t>稳健养老目标一年持有期混合型基金中基金（</w:t>
      </w:r>
      <w:r w:rsidR="00C12046">
        <w:rPr>
          <w:rFonts w:ascii="Times New Roman" w:eastAsia="宋体" w:hAnsi="Times New Roman" w:cs="Times New Roman"/>
          <w:kern w:val="0"/>
          <w:sz w:val="24"/>
        </w:rPr>
        <w:t>FOF</w:t>
      </w:r>
      <w:r w:rsidR="00C12046">
        <w:rPr>
          <w:rFonts w:ascii="Times New Roman" w:eastAsia="宋体" w:hAnsi="Times New Roman" w:cs="Times New Roman"/>
          <w:kern w:val="0"/>
          <w:sz w:val="24"/>
        </w:rPr>
        <w:t>）</w:t>
      </w:r>
      <w:r w:rsidR="009800BE" w:rsidRPr="00B654D8">
        <w:rPr>
          <w:rFonts w:ascii="Times New Roman" w:eastAsia="宋体" w:hAnsi="Times New Roman" w:cs="Times New Roman"/>
          <w:kern w:val="0"/>
          <w:sz w:val="24"/>
        </w:rPr>
        <w:t>（以下简称</w:t>
      </w:r>
      <w:r w:rsidR="009800BE" w:rsidRPr="00B654D8">
        <w:rPr>
          <w:rFonts w:ascii="Times New Roman" w:eastAsia="宋体" w:hAnsi="Times New Roman" w:cs="Times New Roman"/>
          <w:kern w:val="0"/>
          <w:sz w:val="24"/>
        </w:rPr>
        <w:t>“</w:t>
      </w:r>
      <w:r w:rsidR="009800BE" w:rsidRPr="00B654D8">
        <w:rPr>
          <w:rFonts w:ascii="Times New Roman" w:eastAsia="宋体" w:hAnsi="Times New Roman" w:cs="Times New Roman"/>
          <w:kern w:val="0"/>
          <w:sz w:val="24"/>
        </w:rPr>
        <w:t>本基金</w:t>
      </w:r>
      <w:r w:rsidR="009800BE" w:rsidRPr="00B654D8">
        <w:rPr>
          <w:rFonts w:ascii="Times New Roman" w:eastAsia="宋体" w:hAnsi="Times New Roman" w:cs="Times New Roman"/>
          <w:kern w:val="0"/>
          <w:sz w:val="24"/>
        </w:rPr>
        <w:t>”</w:t>
      </w:r>
      <w:r w:rsidR="009800BE" w:rsidRPr="00B654D8">
        <w:rPr>
          <w:rFonts w:ascii="Times New Roman" w:eastAsia="宋体" w:hAnsi="Times New Roman" w:cs="Times New Roman"/>
          <w:kern w:val="0"/>
          <w:sz w:val="24"/>
        </w:rPr>
        <w:t>）的募集及其基金份额的发售已经中国证券监督管理委员会证监许可</w:t>
      </w:r>
      <w:r w:rsidR="009800BE" w:rsidRPr="00B654D8">
        <w:rPr>
          <w:rFonts w:ascii="Times New Roman" w:eastAsia="宋体" w:hAnsi="Times New Roman" w:cs="Times New Roman"/>
          <w:kern w:val="0"/>
          <w:sz w:val="24"/>
        </w:rPr>
        <w:t>[201</w:t>
      </w:r>
      <w:r w:rsidR="00F0452C">
        <w:rPr>
          <w:rFonts w:ascii="Times New Roman" w:eastAsia="宋体" w:hAnsi="Times New Roman" w:cs="Times New Roman" w:hint="eastAsia"/>
          <w:kern w:val="0"/>
          <w:sz w:val="24"/>
        </w:rPr>
        <w:t>8</w:t>
      </w:r>
      <w:r w:rsidR="009800BE" w:rsidRPr="00B654D8">
        <w:rPr>
          <w:rFonts w:ascii="Times New Roman" w:eastAsia="宋体" w:hAnsi="Times New Roman" w:cs="Times New Roman"/>
          <w:kern w:val="0"/>
          <w:sz w:val="24"/>
        </w:rPr>
        <w:t xml:space="preserve"> ]</w:t>
      </w:r>
      <w:r w:rsidR="00F0452C">
        <w:rPr>
          <w:rFonts w:ascii="Times New Roman" w:eastAsia="宋体" w:hAnsi="Times New Roman" w:cs="Times New Roman" w:hint="eastAsia"/>
          <w:kern w:val="0"/>
          <w:sz w:val="24"/>
        </w:rPr>
        <w:t>1664</w:t>
      </w:r>
      <w:r w:rsidR="009800BE" w:rsidRPr="00B654D8">
        <w:rPr>
          <w:rFonts w:ascii="Times New Roman" w:eastAsia="宋体" w:hAnsi="Times New Roman" w:cs="Times New Roman"/>
          <w:kern w:val="0"/>
          <w:sz w:val="24"/>
        </w:rPr>
        <w:t>号</w:t>
      </w:r>
      <w:proofErr w:type="gramStart"/>
      <w:r w:rsidR="009800BE" w:rsidRPr="00B654D8">
        <w:rPr>
          <w:rFonts w:ascii="Times New Roman" w:eastAsia="宋体" w:hAnsi="Times New Roman" w:cs="Times New Roman"/>
          <w:kern w:val="0"/>
          <w:sz w:val="24"/>
        </w:rPr>
        <w:t>文注册</w:t>
      </w:r>
      <w:proofErr w:type="gramEnd"/>
      <w:r w:rsidR="009800BE" w:rsidRPr="00B654D8">
        <w:rPr>
          <w:rFonts w:ascii="Times New Roman" w:eastAsia="宋体" w:hAnsi="Times New Roman" w:cs="Times New Roman"/>
          <w:kern w:val="0"/>
          <w:sz w:val="24"/>
        </w:rPr>
        <w:t>募集。</w:t>
      </w:r>
      <w:r w:rsidR="00282B69" w:rsidRPr="00B654D8">
        <w:rPr>
          <w:rFonts w:ascii="Times New Roman" w:eastAsia="宋体" w:hAnsi="Times New Roman" w:cs="Times New Roman"/>
          <w:bCs/>
          <w:sz w:val="24"/>
        </w:rPr>
        <w:t>中国证监会对本基金募集的注册，并不表明其对本基金的投资价值、市场前景和收益做出实质性判断或保证，也不表明投资于本基金没有风险。</w:t>
      </w:r>
      <w:bookmarkStart w:id="15" w:name="_GoBack"/>
      <w:bookmarkEnd w:id="15"/>
    </w:p>
    <w:p w14:paraId="59002A22" w14:textId="7BB693B0" w:rsidR="00282B69" w:rsidRDefault="00E96CE6" w:rsidP="00CA7786">
      <w:pPr>
        <w:tabs>
          <w:tab w:val="num" w:pos="900"/>
        </w:tabs>
        <w:spacing w:line="360"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kern w:val="0"/>
          <w:sz w:val="24"/>
        </w:rPr>
        <w:t>2</w:t>
      </w:r>
      <w:r>
        <w:rPr>
          <w:rFonts w:ascii="Times New Roman" w:eastAsia="宋体" w:hAnsi="Times New Roman" w:cs="Times New Roman" w:hint="eastAsia"/>
          <w:kern w:val="0"/>
          <w:sz w:val="24"/>
        </w:rPr>
        <w:t>、</w:t>
      </w:r>
      <w:r w:rsidR="00D64653" w:rsidRPr="00CA7786">
        <w:rPr>
          <w:rFonts w:ascii="Times New Roman" w:eastAsia="宋体" w:hAnsi="Times New Roman" w:cs="Times New Roman" w:hint="eastAsia"/>
          <w:b/>
          <w:kern w:val="0"/>
          <w:sz w:val="24"/>
        </w:rPr>
        <w:t>本基金“养老”的名称不含收益保障或其他任何形式的收益承诺，本基金</w:t>
      </w:r>
      <w:proofErr w:type="gramStart"/>
      <w:r w:rsidR="00D64653" w:rsidRPr="00CA7786">
        <w:rPr>
          <w:rFonts w:ascii="Times New Roman" w:eastAsia="宋体" w:hAnsi="Times New Roman" w:cs="Times New Roman" w:hint="eastAsia"/>
          <w:b/>
          <w:kern w:val="0"/>
          <w:sz w:val="24"/>
        </w:rPr>
        <w:t>不</w:t>
      </w:r>
      <w:proofErr w:type="gramEnd"/>
      <w:r w:rsidR="00D64653" w:rsidRPr="00CA7786">
        <w:rPr>
          <w:rFonts w:ascii="Times New Roman" w:eastAsia="宋体" w:hAnsi="Times New Roman" w:cs="Times New Roman" w:hint="eastAsia"/>
          <w:b/>
          <w:kern w:val="0"/>
          <w:sz w:val="24"/>
        </w:rPr>
        <w:t>保本，可能发生亏损。</w:t>
      </w:r>
      <w:r w:rsidR="004F12EB" w:rsidRPr="004F12EB">
        <w:rPr>
          <w:rFonts w:ascii="Times New Roman" w:eastAsia="宋体" w:hAnsi="Times New Roman" w:cs="Times New Roman" w:hint="eastAsia"/>
          <w:b/>
          <w:kern w:val="0"/>
          <w:sz w:val="24"/>
        </w:rPr>
        <w:t>投资人应当以书面或电子形式确认了解本基金的产品特征。</w:t>
      </w:r>
      <w:r w:rsidR="00282B69" w:rsidRPr="00B654D8">
        <w:rPr>
          <w:rFonts w:ascii="Times New Roman" w:eastAsia="宋体" w:hAnsi="Times New Roman" w:cs="Times New Roman"/>
          <w:bCs/>
          <w:sz w:val="24"/>
        </w:rPr>
        <w:t>基金管理人依照恪尽职守、诚实信用、谨慎勤勉的原则管理和运用基金财产，但不保证基金一定盈利，也不保证最低收益。</w:t>
      </w:r>
      <w:r w:rsidR="00A630CD" w:rsidRPr="00CA7786">
        <w:rPr>
          <w:rFonts w:ascii="Times New Roman" w:eastAsia="宋体" w:hAnsi="Times New Roman" w:cs="Times New Roman" w:hint="eastAsia"/>
          <w:bCs/>
          <w:sz w:val="24"/>
        </w:rPr>
        <w:t>基金的过往业绩及其净值高低并不预示其未来业绩表现，基金管理人管理的其他基金的业绩不构成对本基金业绩表现的保证。</w:t>
      </w:r>
    </w:p>
    <w:p w14:paraId="0F05F289" w14:textId="24F75444" w:rsidR="008B15A2" w:rsidRPr="00CA7786" w:rsidRDefault="008B15A2" w:rsidP="008B15A2">
      <w:pPr>
        <w:tabs>
          <w:tab w:val="num" w:pos="900"/>
        </w:tabs>
        <w:spacing w:line="360" w:lineRule="auto"/>
        <w:ind w:firstLineChars="200" w:firstLine="480"/>
        <w:rPr>
          <w:rFonts w:ascii="Times New Roman" w:eastAsia="宋体" w:hAnsi="Times New Roman" w:cs="Times New Roman"/>
          <w:bCs/>
          <w:sz w:val="24"/>
        </w:rPr>
      </w:pPr>
      <w:r w:rsidRPr="00CA7786">
        <w:rPr>
          <w:rFonts w:ascii="Times New Roman" w:eastAsia="宋体" w:hAnsi="Times New Roman" w:cs="Times New Roman"/>
          <w:bCs/>
          <w:sz w:val="24"/>
        </w:rPr>
        <w:t>3</w:t>
      </w:r>
      <w:r w:rsidRPr="00CA7786">
        <w:rPr>
          <w:rFonts w:ascii="Times New Roman" w:eastAsia="宋体" w:hAnsi="Times New Roman" w:cs="Times New Roman" w:hint="eastAsia"/>
          <w:bCs/>
          <w:sz w:val="24"/>
        </w:rPr>
        <w:t>、本基金对投资人的最短持有期限做出限制，对于每份基金份额而言，最短持有期限为</w:t>
      </w:r>
      <w:r w:rsidRPr="00CA7786">
        <w:rPr>
          <w:rFonts w:ascii="Times New Roman" w:eastAsia="宋体" w:hAnsi="Times New Roman" w:cs="Times New Roman"/>
          <w:bCs/>
          <w:sz w:val="24"/>
        </w:rPr>
        <w:t>1</w:t>
      </w:r>
      <w:r w:rsidRPr="00CA7786">
        <w:rPr>
          <w:rFonts w:ascii="Times New Roman" w:eastAsia="宋体" w:hAnsi="Times New Roman" w:cs="Times New Roman" w:hint="eastAsia"/>
          <w:bCs/>
          <w:sz w:val="24"/>
        </w:rPr>
        <w:t>年，基金份额持有人在满足最短持有期限的情况下方可赎回。</w:t>
      </w:r>
    </w:p>
    <w:p w14:paraId="17993446" w14:textId="77777777" w:rsidR="00BD31E0" w:rsidRPr="00AF387D" w:rsidRDefault="00BD31E0" w:rsidP="00CA7786">
      <w:pPr>
        <w:spacing w:line="360" w:lineRule="auto"/>
        <w:rPr>
          <w:rFonts w:ascii="Times New Roman" w:eastAsia="宋体" w:hAnsi="Times New Roman" w:cs="Times New Roman"/>
          <w:bCs/>
          <w:sz w:val="24"/>
        </w:rPr>
      </w:pPr>
    </w:p>
    <w:p w14:paraId="09B76F6F" w14:textId="51B90A12" w:rsidR="00786C75" w:rsidRPr="00460E50" w:rsidRDefault="00786C75" w:rsidP="00786C75">
      <w:pPr>
        <w:tabs>
          <w:tab w:val="num" w:pos="900"/>
        </w:tabs>
        <w:spacing w:line="360" w:lineRule="auto"/>
        <w:ind w:firstLineChars="200" w:firstLine="482"/>
        <w:rPr>
          <w:rFonts w:ascii="Times New Roman" w:eastAsia="宋体" w:hAnsi="Times New Roman" w:cs="Times New Roman"/>
          <w:b/>
          <w:kern w:val="0"/>
          <w:sz w:val="24"/>
        </w:rPr>
      </w:pPr>
      <w:r>
        <w:rPr>
          <w:rFonts w:ascii="Times New Roman" w:eastAsia="宋体" w:hAnsi="Times New Roman" w:cs="Times New Roman" w:hint="eastAsia"/>
          <w:b/>
          <w:kern w:val="0"/>
          <w:sz w:val="24"/>
        </w:rPr>
        <w:t>二</w:t>
      </w:r>
      <w:r w:rsidRPr="00460E50">
        <w:rPr>
          <w:rFonts w:ascii="Times New Roman" w:eastAsia="宋体" w:hAnsi="Times New Roman" w:cs="Times New Roman" w:hint="eastAsia"/>
          <w:b/>
          <w:kern w:val="0"/>
          <w:sz w:val="24"/>
        </w:rPr>
        <w:t>、</w:t>
      </w:r>
      <w:r>
        <w:rPr>
          <w:rFonts w:ascii="Times New Roman" w:eastAsia="宋体" w:hAnsi="Times New Roman" w:cs="Times New Roman" w:hint="eastAsia"/>
          <w:b/>
          <w:kern w:val="0"/>
          <w:sz w:val="24"/>
        </w:rPr>
        <w:t>本基金基本要素</w:t>
      </w:r>
    </w:p>
    <w:p w14:paraId="14C63311" w14:textId="1D937087" w:rsidR="00BD31E0" w:rsidRPr="00B654D8" w:rsidRDefault="008C7DC4" w:rsidP="00CA7786">
      <w:pPr>
        <w:spacing w:line="360" w:lineRule="auto"/>
        <w:rPr>
          <w:rFonts w:ascii="Times New Roman" w:eastAsia="宋体" w:hAnsi="Times New Roman" w:cs="Times New Roman"/>
          <w:bCs/>
          <w:sz w:val="24"/>
        </w:rPr>
      </w:pPr>
      <w:r>
        <w:rPr>
          <w:rFonts w:ascii="Times New Roman" w:eastAsia="宋体" w:hAnsi="Times New Roman" w:cs="Times New Roman" w:hint="eastAsia"/>
          <w:bCs/>
          <w:sz w:val="24"/>
        </w:rPr>
        <w:t xml:space="preserve">    </w:t>
      </w:r>
      <w:r w:rsidR="00E96CE6">
        <w:rPr>
          <w:rFonts w:ascii="Times New Roman" w:eastAsia="宋体" w:hAnsi="Times New Roman" w:cs="Times New Roman" w:hint="eastAsia"/>
          <w:bCs/>
          <w:sz w:val="24"/>
        </w:rPr>
        <w:t>1</w:t>
      </w:r>
      <w:r w:rsidR="00E96CE6">
        <w:rPr>
          <w:rFonts w:ascii="Times New Roman" w:eastAsia="宋体" w:hAnsi="Times New Roman" w:cs="Times New Roman" w:hint="eastAsia"/>
          <w:bCs/>
          <w:sz w:val="24"/>
        </w:rPr>
        <w:t>、</w:t>
      </w:r>
      <w:r>
        <w:rPr>
          <w:rFonts w:ascii="Times New Roman" w:eastAsia="宋体" w:hAnsi="Times New Roman" w:cs="Times New Roman" w:hint="eastAsia"/>
          <w:bCs/>
          <w:sz w:val="24"/>
        </w:rPr>
        <w:t>投资范围</w:t>
      </w:r>
    </w:p>
    <w:p w14:paraId="4E40EFFA" w14:textId="197D97D2" w:rsidR="009800BE" w:rsidRDefault="009800BE" w:rsidP="00282B69">
      <w:pPr>
        <w:spacing w:line="360" w:lineRule="auto"/>
        <w:ind w:firstLineChars="200" w:firstLine="480"/>
        <w:rPr>
          <w:rFonts w:ascii="Times New Roman" w:eastAsia="宋体" w:hAnsi="Times New Roman" w:cs="Times New Roman"/>
          <w:bCs/>
          <w:sz w:val="24"/>
        </w:rPr>
      </w:pPr>
      <w:r w:rsidRPr="00B654D8">
        <w:rPr>
          <w:rFonts w:ascii="Times New Roman" w:eastAsia="宋体" w:hAnsi="Times New Roman" w:cs="Times New Roman"/>
          <w:bCs/>
          <w:sz w:val="24"/>
        </w:rPr>
        <w:t>本基金以多元资产配置为核心驱动力，通过优化配置各类资产实现投资组合的风险分散和长期稳健增长。同时本基金通过精选各类基金并构造分散的基金组合，力求实现投资组合的稳健超额收益和风险再分散。</w:t>
      </w:r>
    </w:p>
    <w:p w14:paraId="023612FB" w14:textId="5481F063" w:rsidR="008C7DC4" w:rsidRDefault="008C7DC4" w:rsidP="008C7DC4">
      <w:pPr>
        <w:spacing w:line="360" w:lineRule="auto"/>
        <w:ind w:firstLineChars="200" w:firstLine="480"/>
        <w:rPr>
          <w:rFonts w:ascii="Times New Roman" w:eastAsia="宋体" w:hAnsi="Times New Roman" w:cs="Times New Roman"/>
          <w:bCs/>
          <w:sz w:val="24"/>
        </w:rPr>
      </w:pPr>
      <w:r w:rsidRPr="008C7DC4">
        <w:rPr>
          <w:rFonts w:ascii="Times New Roman" w:eastAsia="宋体" w:hAnsi="Times New Roman" w:cs="Times New Roman" w:hint="eastAsia"/>
          <w:bCs/>
          <w:sz w:val="24"/>
        </w:rPr>
        <w:t>本基金的投资范围主要为具有良好流动性的金融工具，包括经中国证监会核准或注册的公开募集证券投资基金（含</w:t>
      </w:r>
      <w:r w:rsidRPr="008C7DC4">
        <w:rPr>
          <w:rFonts w:ascii="Times New Roman" w:eastAsia="宋体" w:hAnsi="Times New Roman" w:cs="Times New Roman"/>
          <w:bCs/>
          <w:sz w:val="24"/>
        </w:rPr>
        <w:t>QDII</w:t>
      </w:r>
      <w:r w:rsidRPr="008C7DC4">
        <w:rPr>
          <w:rFonts w:ascii="Times New Roman" w:eastAsia="宋体" w:hAnsi="Times New Roman" w:cs="Times New Roman" w:hint="eastAsia"/>
          <w:bCs/>
          <w:sz w:val="24"/>
        </w:rPr>
        <w:t>基金、香港互认基金，以下简称</w:t>
      </w:r>
      <w:r w:rsidRPr="008C7DC4">
        <w:rPr>
          <w:rFonts w:ascii="Times New Roman" w:eastAsia="宋体" w:hAnsi="Times New Roman" w:cs="Times New Roman" w:hint="cs"/>
          <w:bCs/>
          <w:sz w:val="24"/>
        </w:rPr>
        <w:t>“</w:t>
      </w:r>
      <w:r w:rsidRPr="008C7DC4">
        <w:rPr>
          <w:rFonts w:ascii="Times New Roman" w:eastAsia="宋体" w:hAnsi="Times New Roman" w:cs="Times New Roman" w:hint="eastAsia"/>
          <w:bCs/>
          <w:sz w:val="24"/>
        </w:rPr>
        <w:t>证券投资基金</w:t>
      </w:r>
      <w:r w:rsidRPr="008C7DC4">
        <w:rPr>
          <w:rFonts w:ascii="Times New Roman" w:eastAsia="宋体" w:hAnsi="Times New Roman" w:cs="Times New Roman" w:hint="cs"/>
          <w:bCs/>
          <w:sz w:val="24"/>
        </w:rPr>
        <w:t>”</w:t>
      </w:r>
      <w:r w:rsidRPr="008C7DC4">
        <w:rPr>
          <w:rFonts w:ascii="Times New Roman" w:eastAsia="宋体" w:hAnsi="Times New Roman" w:cs="Times New Roman" w:hint="eastAsia"/>
          <w:bCs/>
          <w:sz w:val="24"/>
        </w:rPr>
        <w:t>）、股票（包含中小板、创业板及其他依法上市的股票）、债券（包含国债、金融债、央行票据、地方政府债、企业债、公司债、次级债、可转换债券、分离交易可转债、可交换债券、中期票据、短期融资</w:t>
      </w:r>
      <w:proofErr w:type="gramStart"/>
      <w:r w:rsidRPr="008C7DC4">
        <w:rPr>
          <w:rFonts w:ascii="Times New Roman" w:eastAsia="宋体" w:hAnsi="Times New Roman" w:cs="Times New Roman" w:hint="eastAsia"/>
          <w:bCs/>
          <w:sz w:val="24"/>
        </w:rPr>
        <w:t>券</w:t>
      </w:r>
      <w:proofErr w:type="gramEnd"/>
      <w:r w:rsidRPr="008C7DC4">
        <w:rPr>
          <w:rFonts w:ascii="Times New Roman" w:eastAsia="宋体" w:hAnsi="Times New Roman" w:cs="Times New Roman" w:hint="eastAsia"/>
          <w:bCs/>
          <w:sz w:val="24"/>
        </w:rPr>
        <w:t>、超短期融资</w:t>
      </w:r>
      <w:proofErr w:type="gramStart"/>
      <w:r w:rsidRPr="008C7DC4">
        <w:rPr>
          <w:rFonts w:ascii="Times New Roman" w:eastAsia="宋体" w:hAnsi="Times New Roman" w:cs="Times New Roman" w:hint="eastAsia"/>
          <w:bCs/>
          <w:sz w:val="24"/>
        </w:rPr>
        <w:t>券</w:t>
      </w:r>
      <w:proofErr w:type="gramEnd"/>
      <w:r w:rsidRPr="008C7DC4">
        <w:rPr>
          <w:rFonts w:ascii="Times New Roman" w:eastAsia="宋体" w:hAnsi="Times New Roman" w:cs="Times New Roman" w:hint="eastAsia"/>
          <w:bCs/>
          <w:sz w:val="24"/>
        </w:rPr>
        <w:t>等）、资产支持证券、债券回购、银行存款、同业存单、货币市场工具以及法律法规或中国证监会允许基金投资的其他金融工具，但须符合中国证监会的相关规定。</w:t>
      </w:r>
    </w:p>
    <w:p w14:paraId="6F82E9CB" w14:textId="063699BF" w:rsidR="008C7DC4" w:rsidRDefault="008C7DC4" w:rsidP="008C7DC4">
      <w:pPr>
        <w:spacing w:line="360" w:lineRule="auto"/>
        <w:ind w:firstLineChars="200" w:firstLine="480"/>
        <w:rPr>
          <w:rFonts w:ascii="Times New Roman" w:eastAsia="宋体" w:hAnsi="Times New Roman" w:cs="Times New Roman"/>
          <w:bCs/>
          <w:sz w:val="24"/>
        </w:rPr>
      </w:pPr>
      <w:r w:rsidRPr="008C7DC4">
        <w:rPr>
          <w:rFonts w:ascii="Times New Roman" w:eastAsia="宋体" w:hAnsi="Times New Roman" w:cs="Times New Roman" w:hint="eastAsia"/>
          <w:bCs/>
          <w:sz w:val="24"/>
        </w:rPr>
        <w:t>如法律法规或监管机构以后允许基金投资其他品种，基金管理人在履行适当程序后，可以将其纳入投资范围。</w:t>
      </w:r>
    </w:p>
    <w:p w14:paraId="7DC1A7C4" w14:textId="77777777" w:rsidR="00B36D27" w:rsidRPr="00B36D27" w:rsidRDefault="00B36D27" w:rsidP="00CA7786">
      <w:pPr>
        <w:spacing w:line="360" w:lineRule="auto"/>
        <w:ind w:firstLineChars="200" w:firstLine="480"/>
        <w:rPr>
          <w:rFonts w:ascii="Times New Roman" w:eastAsia="宋体" w:hAnsi="Times New Roman" w:cs="Times New Roman"/>
          <w:bCs/>
          <w:sz w:val="24"/>
        </w:rPr>
      </w:pPr>
      <w:r w:rsidRPr="00B36D27">
        <w:rPr>
          <w:rFonts w:ascii="Times New Roman" w:eastAsia="宋体" w:hAnsi="Times New Roman" w:cs="Times New Roman" w:hint="eastAsia"/>
          <w:bCs/>
          <w:sz w:val="24"/>
        </w:rPr>
        <w:lastRenderedPageBreak/>
        <w:t>基金的投资组合比例为：投资证券投资基金占基金资产的比例不低于</w:t>
      </w:r>
      <w:r w:rsidRPr="00B36D27">
        <w:rPr>
          <w:rFonts w:ascii="Times New Roman" w:eastAsia="宋体" w:hAnsi="Times New Roman" w:cs="Times New Roman"/>
          <w:bCs/>
          <w:sz w:val="24"/>
        </w:rPr>
        <w:t>80%</w:t>
      </w:r>
      <w:r w:rsidRPr="00B36D27">
        <w:rPr>
          <w:rFonts w:ascii="Times New Roman" w:eastAsia="宋体" w:hAnsi="Times New Roman" w:cs="Times New Roman" w:hint="eastAsia"/>
          <w:bCs/>
          <w:sz w:val="24"/>
        </w:rPr>
        <w:t>，投资股票、股票型基金、混合型基金和商品基金（</w:t>
      </w:r>
      <w:proofErr w:type="gramStart"/>
      <w:r w:rsidRPr="00B36D27">
        <w:rPr>
          <w:rFonts w:ascii="Times New Roman" w:eastAsia="宋体" w:hAnsi="Times New Roman" w:cs="Times New Roman" w:hint="eastAsia"/>
          <w:bCs/>
          <w:sz w:val="24"/>
        </w:rPr>
        <w:t>含商品</w:t>
      </w:r>
      <w:proofErr w:type="gramEnd"/>
      <w:r w:rsidRPr="00B36D27">
        <w:rPr>
          <w:rFonts w:ascii="Times New Roman" w:eastAsia="宋体" w:hAnsi="Times New Roman" w:cs="Times New Roman" w:hint="eastAsia"/>
          <w:bCs/>
          <w:sz w:val="24"/>
        </w:rPr>
        <w:t>期货基金和黄金</w:t>
      </w:r>
      <w:r w:rsidRPr="00B36D27">
        <w:rPr>
          <w:rFonts w:ascii="Times New Roman" w:eastAsia="宋体" w:hAnsi="Times New Roman" w:cs="Times New Roman"/>
          <w:bCs/>
          <w:sz w:val="24"/>
        </w:rPr>
        <w:t>ETF</w:t>
      </w:r>
      <w:r w:rsidRPr="00B36D27">
        <w:rPr>
          <w:rFonts w:ascii="Times New Roman" w:eastAsia="宋体" w:hAnsi="Times New Roman" w:cs="Times New Roman" w:hint="eastAsia"/>
          <w:bCs/>
          <w:sz w:val="24"/>
        </w:rPr>
        <w:t>）的比例不超过</w:t>
      </w:r>
      <w:r w:rsidRPr="00B36D27">
        <w:rPr>
          <w:rFonts w:ascii="Times New Roman" w:eastAsia="宋体" w:hAnsi="Times New Roman" w:cs="Times New Roman"/>
          <w:bCs/>
          <w:sz w:val="24"/>
        </w:rPr>
        <w:t>30%</w:t>
      </w:r>
      <w:r w:rsidRPr="00B36D27">
        <w:rPr>
          <w:rFonts w:ascii="Times New Roman" w:eastAsia="宋体" w:hAnsi="Times New Roman" w:cs="Times New Roman" w:hint="eastAsia"/>
          <w:bCs/>
          <w:sz w:val="24"/>
        </w:rPr>
        <w:t>。本基金权益类资产（包括股票、股票型基金、混合型基金）的战略配置比例为</w:t>
      </w:r>
      <w:r w:rsidRPr="00B36D27">
        <w:rPr>
          <w:rFonts w:ascii="Times New Roman" w:eastAsia="宋体" w:hAnsi="Times New Roman" w:cs="Times New Roman"/>
          <w:bCs/>
          <w:sz w:val="24"/>
        </w:rPr>
        <w:t>20%</w:t>
      </w:r>
      <w:r w:rsidRPr="00B36D27">
        <w:rPr>
          <w:rFonts w:ascii="Times New Roman" w:eastAsia="宋体" w:hAnsi="Times New Roman" w:cs="Times New Roman" w:hint="eastAsia"/>
          <w:bCs/>
          <w:sz w:val="24"/>
        </w:rPr>
        <w:t>，非权益类资产的战略配置比例</w:t>
      </w:r>
      <w:r w:rsidRPr="00B36D27">
        <w:rPr>
          <w:rFonts w:ascii="Times New Roman" w:eastAsia="宋体" w:hAnsi="Times New Roman" w:cs="Times New Roman"/>
          <w:bCs/>
          <w:sz w:val="24"/>
        </w:rPr>
        <w:t>80%</w:t>
      </w:r>
      <w:r w:rsidRPr="00B36D27">
        <w:rPr>
          <w:rFonts w:ascii="Times New Roman" w:eastAsia="宋体" w:hAnsi="Times New Roman" w:cs="Times New Roman" w:hint="eastAsia"/>
          <w:bCs/>
          <w:sz w:val="24"/>
        </w:rPr>
        <w:t>。权益类资产的战术调整，最低可以调整到</w:t>
      </w:r>
      <w:r w:rsidRPr="00B36D27">
        <w:rPr>
          <w:rFonts w:ascii="Times New Roman" w:eastAsia="宋体" w:hAnsi="Times New Roman" w:cs="Times New Roman"/>
          <w:bCs/>
          <w:sz w:val="24"/>
        </w:rPr>
        <w:t>10%</w:t>
      </w:r>
      <w:r w:rsidRPr="00B36D27">
        <w:rPr>
          <w:rFonts w:ascii="Times New Roman" w:eastAsia="宋体" w:hAnsi="Times New Roman" w:cs="Times New Roman" w:hint="eastAsia"/>
          <w:bCs/>
          <w:sz w:val="24"/>
        </w:rPr>
        <w:t>，最高不超过</w:t>
      </w:r>
      <w:r w:rsidRPr="00B36D27">
        <w:rPr>
          <w:rFonts w:ascii="Times New Roman" w:eastAsia="宋体" w:hAnsi="Times New Roman" w:cs="Times New Roman"/>
          <w:bCs/>
          <w:sz w:val="24"/>
        </w:rPr>
        <w:t>25%</w:t>
      </w:r>
      <w:r w:rsidRPr="00B36D27">
        <w:rPr>
          <w:rFonts w:ascii="Times New Roman" w:eastAsia="宋体" w:hAnsi="Times New Roman" w:cs="Times New Roman" w:hint="eastAsia"/>
          <w:bCs/>
          <w:sz w:val="24"/>
        </w:rPr>
        <w:t>。本基金投资商品基金占基金资产的比例不高于</w:t>
      </w:r>
      <w:r w:rsidRPr="00B36D27">
        <w:rPr>
          <w:rFonts w:ascii="Times New Roman" w:eastAsia="宋体" w:hAnsi="Times New Roman" w:cs="Times New Roman"/>
          <w:bCs/>
          <w:sz w:val="24"/>
        </w:rPr>
        <w:t>10%</w:t>
      </w:r>
      <w:r w:rsidRPr="00B36D27">
        <w:rPr>
          <w:rFonts w:ascii="Times New Roman" w:eastAsia="宋体" w:hAnsi="Times New Roman" w:cs="Times New Roman" w:hint="eastAsia"/>
          <w:bCs/>
          <w:sz w:val="24"/>
        </w:rPr>
        <w:t>，投资货币市场基金占基金资产的比例不高于</w:t>
      </w:r>
      <w:r w:rsidRPr="00B36D27">
        <w:rPr>
          <w:rFonts w:ascii="Times New Roman" w:eastAsia="宋体" w:hAnsi="Times New Roman" w:cs="Times New Roman"/>
          <w:bCs/>
          <w:sz w:val="24"/>
        </w:rPr>
        <w:t>5%</w:t>
      </w:r>
      <w:r w:rsidRPr="00B36D27">
        <w:rPr>
          <w:rFonts w:ascii="Times New Roman" w:eastAsia="宋体" w:hAnsi="Times New Roman" w:cs="Times New Roman" w:hint="eastAsia"/>
          <w:bCs/>
          <w:sz w:val="24"/>
        </w:rPr>
        <w:t>。因证券、期货市场波动、证券发行人合并、基金规模变动等基金管理人之外的因素致使基金投资比例不符合上述规定投资比例的，基金管理人应当在</w:t>
      </w:r>
      <w:r w:rsidRPr="00B36D27">
        <w:rPr>
          <w:rFonts w:ascii="Times New Roman" w:eastAsia="宋体" w:hAnsi="Times New Roman" w:cs="Times New Roman"/>
          <w:bCs/>
          <w:sz w:val="24"/>
        </w:rPr>
        <w:t>10</w:t>
      </w:r>
      <w:r w:rsidRPr="00B36D27">
        <w:rPr>
          <w:rFonts w:ascii="Times New Roman" w:eastAsia="宋体" w:hAnsi="Times New Roman" w:cs="Times New Roman" w:hint="eastAsia"/>
          <w:bCs/>
          <w:sz w:val="24"/>
        </w:rPr>
        <w:t>个交易日内进行调整，但中国证监会规定的特殊情形除外。现金或到期日在一年以内的政府债券不低于基金资产净值的</w:t>
      </w:r>
      <w:r w:rsidRPr="00B36D27">
        <w:rPr>
          <w:rFonts w:ascii="Times New Roman" w:eastAsia="宋体" w:hAnsi="Times New Roman" w:cs="Times New Roman"/>
          <w:bCs/>
          <w:sz w:val="24"/>
        </w:rPr>
        <w:t>5%</w:t>
      </w:r>
      <w:r w:rsidRPr="00B36D27">
        <w:rPr>
          <w:rFonts w:ascii="Times New Roman" w:eastAsia="宋体" w:hAnsi="Times New Roman" w:cs="Times New Roman" w:hint="eastAsia"/>
          <w:bCs/>
          <w:sz w:val="24"/>
        </w:rPr>
        <w:t>，其中，现金不包括结算备付金、存出保证金、应收申购款等。其他金融工具的投资比例依照法律法规或监管机构的规定执行。</w:t>
      </w:r>
    </w:p>
    <w:p w14:paraId="01816A4A" w14:textId="094DFA13" w:rsidR="008C7DC4" w:rsidRDefault="00B36D27" w:rsidP="00B36D27">
      <w:pPr>
        <w:spacing w:line="360" w:lineRule="auto"/>
        <w:ind w:firstLineChars="200" w:firstLine="480"/>
        <w:rPr>
          <w:rFonts w:ascii="Times New Roman" w:eastAsia="宋体" w:hAnsi="Times New Roman" w:cs="Times New Roman"/>
          <w:bCs/>
          <w:sz w:val="24"/>
        </w:rPr>
      </w:pPr>
      <w:r w:rsidRPr="00B36D27">
        <w:rPr>
          <w:rFonts w:ascii="Times New Roman" w:eastAsia="宋体" w:hAnsi="Times New Roman" w:cs="Times New Roman" w:hint="eastAsia"/>
          <w:bCs/>
          <w:sz w:val="24"/>
        </w:rPr>
        <w:t>如法律法规或监管机构以后对投资比例要求有变更的，基金管理人在履行适当程序后，可以做出相应调整。</w:t>
      </w:r>
    </w:p>
    <w:p w14:paraId="2D539836" w14:textId="04918242" w:rsidR="00B87B0F" w:rsidRPr="00B654D8" w:rsidRDefault="00B87B0F" w:rsidP="00B87B0F">
      <w:pPr>
        <w:spacing w:line="360" w:lineRule="auto"/>
        <w:rPr>
          <w:rFonts w:ascii="Times New Roman" w:eastAsia="宋体" w:hAnsi="Times New Roman" w:cs="Times New Roman"/>
          <w:bCs/>
          <w:sz w:val="24"/>
        </w:rPr>
      </w:pPr>
      <w:r>
        <w:rPr>
          <w:rFonts w:ascii="Times New Roman" w:eastAsia="宋体" w:hAnsi="Times New Roman" w:cs="Times New Roman" w:hint="eastAsia"/>
          <w:bCs/>
          <w:sz w:val="24"/>
        </w:rPr>
        <w:t xml:space="preserve">    </w:t>
      </w:r>
      <w:r w:rsidR="00E96CE6">
        <w:rPr>
          <w:rFonts w:ascii="Times New Roman" w:eastAsia="宋体" w:hAnsi="Times New Roman" w:cs="Times New Roman" w:hint="eastAsia"/>
          <w:bCs/>
          <w:sz w:val="24"/>
        </w:rPr>
        <w:t>2</w:t>
      </w:r>
      <w:r w:rsidR="00E96CE6">
        <w:rPr>
          <w:rFonts w:ascii="Times New Roman" w:eastAsia="宋体" w:hAnsi="Times New Roman" w:cs="Times New Roman" w:hint="eastAsia"/>
          <w:bCs/>
          <w:sz w:val="24"/>
        </w:rPr>
        <w:t>、</w:t>
      </w:r>
      <w:r>
        <w:rPr>
          <w:rFonts w:ascii="Times New Roman" w:eastAsia="宋体" w:hAnsi="Times New Roman" w:cs="Times New Roman" w:hint="eastAsia"/>
          <w:bCs/>
          <w:sz w:val="24"/>
        </w:rPr>
        <w:t>投资策略</w:t>
      </w:r>
    </w:p>
    <w:p w14:paraId="52139887" w14:textId="3CB3EF16" w:rsidR="009936E2" w:rsidRDefault="0039266D" w:rsidP="00CA7786">
      <w:pPr>
        <w:spacing w:line="360" w:lineRule="auto"/>
        <w:rPr>
          <w:rFonts w:ascii="Times New Roman" w:eastAsia="宋体" w:hAnsi="Times New Roman" w:cs="Times New Roman"/>
          <w:bCs/>
          <w:sz w:val="24"/>
        </w:rPr>
      </w:pPr>
      <w:r>
        <w:rPr>
          <w:rFonts w:ascii="Times New Roman" w:eastAsia="宋体" w:hAnsi="Times New Roman" w:cs="Times New Roman" w:hint="eastAsia"/>
          <w:bCs/>
          <w:sz w:val="24"/>
        </w:rPr>
        <w:t xml:space="preserve">    </w:t>
      </w:r>
      <w:r w:rsidR="009936E2" w:rsidRPr="009936E2">
        <w:rPr>
          <w:rFonts w:ascii="Times New Roman" w:eastAsia="宋体" w:hAnsi="Times New Roman" w:cs="Times New Roman" w:hint="eastAsia"/>
          <w:bCs/>
          <w:sz w:val="24"/>
        </w:rPr>
        <w:t>本基金采用目标风险策略，且为目标风险系列</w:t>
      </w:r>
      <w:proofErr w:type="gramStart"/>
      <w:r w:rsidR="009936E2" w:rsidRPr="009936E2">
        <w:rPr>
          <w:rFonts w:ascii="Times New Roman" w:eastAsia="宋体" w:hAnsi="Times New Roman" w:cs="Times New Roman" w:hint="eastAsia"/>
          <w:bCs/>
          <w:sz w:val="24"/>
        </w:rPr>
        <w:t>基金中基金中</w:t>
      </w:r>
      <w:proofErr w:type="gramEnd"/>
      <w:r w:rsidR="009936E2" w:rsidRPr="009936E2">
        <w:rPr>
          <w:rFonts w:ascii="Times New Roman" w:eastAsia="宋体" w:hAnsi="Times New Roman" w:cs="Times New Roman" w:hint="eastAsia"/>
          <w:bCs/>
          <w:sz w:val="24"/>
        </w:rPr>
        <w:t>风险收益特征相对稳健的基金。其中目标风险的含义是指基金净值的波动率应该与该基金的基准和投资目标基本一致。一般而言，“风险”多来源于资产的波动，波动越高的资产风险也会越高，所以本基金会通过“锚定”基金的业绩基准来控制整个产品的风险属性。</w:t>
      </w:r>
      <w:r w:rsidR="000616CD" w:rsidRPr="000616CD">
        <w:rPr>
          <w:rFonts w:ascii="Times New Roman" w:eastAsia="宋体" w:hAnsi="Times New Roman" w:cs="Times New Roman" w:hint="eastAsia"/>
          <w:bCs/>
          <w:sz w:val="24"/>
        </w:rPr>
        <w:t>为了保持稳健的风险收益特征，本基金的长期资产配置以非权益类资产为主，权益类资产为辅。本基金的战略资产配置方案为：权益类资产（包括股票、股票型基金、混合型基金）的投资占比为</w:t>
      </w:r>
      <w:r w:rsidR="000616CD" w:rsidRPr="000616CD">
        <w:rPr>
          <w:rFonts w:ascii="Times New Roman" w:eastAsia="宋体" w:hAnsi="Times New Roman" w:cs="Times New Roman"/>
          <w:bCs/>
          <w:sz w:val="24"/>
        </w:rPr>
        <w:t>20%</w:t>
      </w:r>
      <w:r w:rsidR="000616CD" w:rsidRPr="000616CD">
        <w:rPr>
          <w:rFonts w:ascii="Times New Roman" w:eastAsia="宋体" w:hAnsi="Times New Roman" w:cs="Times New Roman"/>
          <w:bCs/>
          <w:sz w:val="24"/>
        </w:rPr>
        <w:t>，非权益类资产的投资占比为</w:t>
      </w:r>
      <w:r w:rsidR="000616CD" w:rsidRPr="000616CD">
        <w:rPr>
          <w:rFonts w:ascii="Times New Roman" w:eastAsia="宋体" w:hAnsi="Times New Roman" w:cs="Times New Roman"/>
          <w:bCs/>
          <w:sz w:val="24"/>
        </w:rPr>
        <w:t>80%</w:t>
      </w:r>
      <w:r w:rsidR="000616CD" w:rsidRPr="000616CD">
        <w:rPr>
          <w:rFonts w:ascii="Times New Roman" w:eastAsia="宋体" w:hAnsi="Times New Roman" w:cs="Times New Roman"/>
          <w:bCs/>
          <w:sz w:val="24"/>
        </w:rPr>
        <w:t>。对于权益类资产中混合型基金主要是指以下的基金类型：</w:t>
      </w:r>
      <w:r w:rsidR="00C12046" w:rsidRPr="00C12046">
        <w:rPr>
          <w:rFonts w:ascii="Times New Roman" w:eastAsia="宋体" w:hAnsi="Times New Roman" w:cs="Times New Roman" w:hint="eastAsia"/>
          <w:bCs/>
          <w:sz w:val="24"/>
        </w:rPr>
        <w:t>基金合同中明确规定股票资产占基金资产比例为</w:t>
      </w:r>
      <w:r w:rsidR="00C12046" w:rsidRPr="00C12046">
        <w:rPr>
          <w:rFonts w:ascii="Times New Roman" w:eastAsia="宋体" w:hAnsi="Times New Roman" w:cs="Times New Roman"/>
          <w:bCs/>
          <w:sz w:val="24"/>
        </w:rPr>
        <w:t>50%</w:t>
      </w:r>
      <w:r w:rsidR="00C12046" w:rsidRPr="00C12046">
        <w:rPr>
          <w:rFonts w:ascii="Times New Roman" w:eastAsia="宋体" w:hAnsi="Times New Roman" w:cs="Times New Roman" w:hint="eastAsia"/>
          <w:bCs/>
          <w:sz w:val="24"/>
        </w:rPr>
        <w:t>以上的混合型基金；根据定期报告，最近四个季度</w:t>
      </w:r>
      <w:r w:rsidR="00880687" w:rsidRPr="00C12046">
        <w:rPr>
          <w:rFonts w:ascii="Times New Roman" w:eastAsia="宋体" w:hAnsi="Times New Roman" w:cs="Times New Roman" w:hint="eastAsia"/>
          <w:bCs/>
          <w:sz w:val="24"/>
        </w:rPr>
        <w:t>股票资产占基金资产比例</w:t>
      </w:r>
      <w:r w:rsidR="00C12046" w:rsidRPr="00C12046">
        <w:rPr>
          <w:rFonts w:ascii="Times New Roman" w:eastAsia="宋体" w:hAnsi="Times New Roman" w:cs="Times New Roman" w:hint="eastAsia"/>
          <w:bCs/>
          <w:sz w:val="24"/>
        </w:rPr>
        <w:t>均在</w:t>
      </w:r>
      <w:r w:rsidR="00C12046" w:rsidRPr="00C12046">
        <w:rPr>
          <w:rFonts w:ascii="Times New Roman" w:eastAsia="宋体" w:hAnsi="Times New Roman" w:cs="Times New Roman"/>
          <w:bCs/>
          <w:sz w:val="24"/>
        </w:rPr>
        <w:t>50%</w:t>
      </w:r>
      <w:r w:rsidR="00C12046" w:rsidRPr="00C12046">
        <w:rPr>
          <w:rFonts w:ascii="Times New Roman" w:eastAsia="宋体" w:hAnsi="Times New Roman" w:cs="Times New Roman" w:hint="eastAsia"/>
          <w:bCs/>
          <w:sz w:val="24"/>
        </w:rPr>
        <w:t>以上的混合基金</w:t>
      </w:r>
      <w:r w:rsidR="000616CD" w:rsidRPr="000616CD">
        <w:rPr>
          <w:rFonts w:ascii="Times New Roman" w:eastAsia="宋体" w:hAnsi="Times New Roman" w:cs="Times New Roman"/>
          <w:bCs/>
          <w:sz w:val="24"/>
        </w:rPr>
        <w:t>。</w:t>
      </w:r>
    </w:p>
    <w:p w14:paraId="6CD2AC40" w14:textId="5DE802F2" w:rsidR="000616CD" w:rsidRDefault="000616CD" w:rsidP="009800BE">
      <w:pPr>
        <w:spacing w:line="360" w:lineRule="auto"/>
        <w:ind w:firstLineChars="200" w:firstLine="480"/>
        <w:rPr>
          <w:rFonts w:ascii="Times New Roman" w:eastAsia="宋体" w:hAnsi="Times New Roman" w:cs="Times New Roman"/>
          <w:bCs/>
          <w:sz w:val="24"/>
        </w:rPr>
      </w:pPr>
      <w:r w:rsidRPr="000616CD">
        <w:rPr>
          <w:rFonts w:ascii="Times New Roman" w:eastAsia="宋体" w:hAnsi="Times New Roman" w:cs="Times New Roman" w:hint="eastAsia"/>
          <w:bCs/>
          <w:sz w:val="24"/>
        </w:rPr>
        <w:t>为进一步增强组合收益并控制最大回撤，本基金可根据对市场的判断对战略资产配置方案进行调整，</w:t>
      </w:r>
      <w:r w:rsidR="00C12046" w:rsidRPr="00C12046">
        <w:rPr>
          <w:rFonts w:ascii="Times New Roman" w:eastAsia="宋体" w:hAnsi="Times New Roman" w:cs="Times New Roman" w:hint="eastAsia"/>
          <w:bCs/>
          <w:sz w:val="24"/>
        </w:rPr>
        <w:t>权益类资产最低可以调整到</w:t>
      </w:r>
      <w:r w:rsidR="00C12046" w:rsidRPr="00C12046">
        <w:rPr>
          <w:rFonts w:ascii="Times New Roman" w:eastAsia="宋体" w:hAnsi="Times New Roman" w:cs="Times New Roman"/>
          <w:bCs/>
          <w:sz w:val="24"/>
        </w:rPr>
        <w:t>10%</w:t>
      </w:r>
      <w:r w:rsidR="00C12046" w:rsidRPr="00C12046">
        <w:rPr>
          <w:rFonts w:ascii="Times New Roman" w:eastAsia="宋体" w:hAnsi="Times New Roman" w:cs="Times New Roman" w:hint="eastAsia"/>
          <w:bCs/>
          <w:sz w:val="24"/>
        </w:rPr>
        <w:t>，最高不超过</w:t>
      </w:r>
      <w:r w:rsidR="00C12046" w:rsidRPr="00C12046">
        <w:rPr>
          <w:rFonts w:ascii="Times New Roman" w:eastAsia="宋体" w:hAnsi="Times New Roman" w:cs="Times New Roman"/>
          <w:bCs/>
          <w:sz w:val="24"/>
        </w:rPr>
        <w:t>25%</w:t>
      </w:r>
      <w:r w:rsidRPr="000616CD">
        <w:rPr>
          <w:rFonts w:ascii="Times New Roman" w:eastAsia="宋体" w:hAnsi="Times New Roman" w:cs="Times New Roman"/>
          <w:bCs/>
          <w:sz w:val="24"/>
        </w:rPr>
        <w:t>。</w:t>
      </w:r>
    </w:p>
    <w:p w14:paraId="0B76EF9A" w14:textId="3611D3B2" w:rsidR="000616CD" w:rsidRPr="00B654D8" w:rsidRDefault="000616CD" w:rsidP="000616CD">
      <w:pPr>
        <w:spacing w:line="360" w:lineRule="auto"/>
        <w:ind w:firstLineChars="200" w:firstLine="480"/>
        <w:rPr>
          <w:rFonts w:ascii="Times New Roman" w:eastAsia="宋体" w:hAnsi="Times New Roman" w:cs="Times New Roman"/>
          <w:bCs/>
          <w:sz w:val="24"/>
        </w:rPr>
      </w:pPr>
      <w:r w:rsidRPr="000616CD">
        <w:rPr>
          <w:rFonts w:ascii="Times New Roman" w:eastAsia="宋体" w:hAnsi="Times New Roman" w:cs="Times New Roman" w:hint="eastAsia"/>
          <w:bCs/>
          <w:sz w:val="24"/>
        </w:rPr>
        <w:t>本基金将结合定量分析与定性分析，从基金分类、长期业绩、归因分析、基金经理和基金管理人五大维度对全市场基金进行综合评判和打分，并从中甄选出运作合</w:t>
      </w:r>
      <w:proofErr w:type="gramStart"/>
      <w:r w:rsidRPr="000616CD">
        <w:rPr>
          <w:rFonts w:ascii="Times New Roman" w:eastAsia="宋体" w:hAnsi="Times New Roman" w:cs="Times New Roman" w:hint="eastAsia"/>
          <w:bCs/>
          <w:sz w:val="24"/>
        </w:rPr>
        <w:t>规</w:t>
      </w:r>
      <w:proofErr w:type="gramEnd"/>
      <w:r w:rsidRPr="000616CD">
        <w:rPr>
          <w:rFonts w:ascii="Times New Roman" w:eastAsia="宋体" w:hAnsi="Times New Roman" w:cs="Times New Roman" w:hint="eastAsia"/>
          <w:bCs/>
          <w:sz w:val="24"/>
        </w:rPr>
        <w:t>、风格清晰、中长期收益良好、业绩波动性较低的优秀基金作为投资标</w:t>
      </w:r>
      <w:r w:rsidRPr="000616CD">
        <w:rPr>
          <w:rFonts w:ascii="Times New Roman" w:eastAsia="宋体" w:hAnsi="Times New Roman" w:cs="Times New Roman" w:hint="eastAsia"/>
          <w:bCs/>
          <w:sz w:val="24"/>
        </w:rPr>
        <w:lastRenderedPageBreak/>
        <w:t>的。</w:t>
      </w:r>
    </w:p>
    <w:p w14:paraId="13C46555" w14:textId="62960DAC" w:rsidR="00C46017" w:rsidRDefault="00E96CE6" w:rsidP="000178F0">
      <w:pPr>
        <w:spacing w:line="360"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3</w:t>
      </w:r>
      <w:r>
        <w:rPr>
          <w:rFonts w:ascii="Times New Roman" w:eastAsia="宋体" w:hAnsi="Times New Roman" w:cs="Times New Roman" w:hint="eastAsia"/>
          <w:bCs/>
          <w:sz w:val="24"/>
        </w:rPr>
        <w:t>、</w:t>
      </w:r>
      <w:r w:rsidR="00C46017" w:rsidRPr="00C46017">
        <w:rPr>
          <w:rFonts w:ascii="Times New Roman" w:eastAsia="宋体" w:hAnsi="Times New Roman" w:cs="Times New Roman" w:hint="eastAsia"/>
          <w:bCs/>
          <w:sz w:val="24"/>
        </w:rPr>
        <w:t>费率结构</w:t>
      </w:r>
    </w:p>
    <w:p w14:paraId="64F319CC" w14:textId="3A8CD541" w:rsidR="000616CD" w:rsidRPr="00B654D8" w:rsidRDefault="000178F0" w:rsidP="00CA7786">
      <w:pPr>
        <w:spacing w:line="360" w:lineRule="auto"/>
        <w:rPr>
          <w:rFonts w:ascii="Times New Roman" w:eastAsia="宋体" w:hAnsi="Times New Roman" w:cs="Times New Roman"/>
          <w:bCs/>
          <w:sz w:val="24"/>
        </w:rPr>
      </w:pPr>
      <w:r>
        <w:rPr>
          <w:rFonts w:ascii="Times New Roman" w:eastAsia="宋体" w:hAnsi="Times New Roman" w:cs="Times New Roman" w:hint="eastAsia"/>
          <w:bCs/>
          <w:sz w:val="24"/>
        </w:rPr>
        <w:t xml:space="preserve">    </w:t>
      </w:r>
      <w:r w:rsidR="000B5B9C" w:rsidRPr="00B654D8">
        <w:rPr>
          <w:rFonts w:ascii="Times New Roman" w:eastAsia="宋体" w:hAnsi="Times New Roman" w:cs="Times New Roman"/>
          <w:bCs/>
          <w:sz w:val="24"/>
        </w:rPr>
        <w:t>本基金的费率结构如下表所示：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596"/>
        <w:gridCol w:w="2156"/>
        <w:gridCol w:w="1965"/>
      </w:tblGrid>
      <w:tr w:rsidR="000616CD" w:rsidRPr="00B654D8" w14:paraId="37319080" w14:textId="7520E98A" w:rsidTr="00E731E5">
        <w:trPr>
          <w:trHeight w:val="599"/>
          <w:jc w:val="center"/>
        </w:trPr>
        <w:tc>
          <w:tcPr>
            <w:tcW w:w="1805" w:type="dxa"/>
            <w:tcBorders>
              <w:top w:val="single" w:sz="4" w:space="0" w:color="auto"/>
              <w:left w:val="single" w:sz="4" w:space="0" w:color="auto"/>
              <w:bottom w:val="single" w:sz="4" w:space="0" w:color="auto"/>
              <w:right w:val="single" w:sz="4" w:space="0" w:color="auto"/>
            </w:tcBorders>
            <w:vAlign w:val="center"/>
            <w:hideMark/>
          </w:tcPr>
          <w:p w14:paraId="54168D5B" w14:textId="77777777" w:rsidR="000616CD" w:rsidRPr="00B654D8" w:rsidRDefault="000616CD" w:rsidP="004C1B8F">
            <w:pPr>
              <w:jc w:val="center"/>
              <w:rPr>
                <w:rFonts w:ascii="Times New Roman" w:eastAsia="宋体" w:hAnsi="Times New Roman" w:cs="Times New Roman"/>
                <w:b/>
                <w:kern w:val="0"/>
                <w:sz w:val="24"/>
                <w:szCs w:val="24"/>
              </w:rPr>
            </w:pPr>
            <w:r w:rsidRPr="00B654D8">
              <w:rPr>
                <w:rFonts w:ascii="Times New Roman" w:eastAsia="宋体" w:hAnsi="Times New Roman" w:cs="Times New Roman"/>
                <w:b/>
                <w:kern w:val="0"/>
                <w:sz w:val="24"/>
                <w:szCs w:val="24"/>
              </w:rPr>
              <w:t>费用种类</w:t>
            </w:r>
          </w:p>
        </w:tc>
        <w:tc>
          <w:tcPr>
            <w:tcW w:w="2596" w:type="dxa"/>
            <w:tcBorders>
              <w:top w:val="single" w:sz="4" w:space="0" w:color="auto"/>
              <w:left w:val="single" w:sz="4" w:space="0" w:color="auto"/>
              <w:bottom w:val="single" w:sz="4" w:space="0" w:color="auto"/>
              <w:right w:val="single" w:sz="4" w:space="0" w:color="auto"/>
            </w:tcBorders>
            <w:vAlign w:val="center"/>
            <w:hideMark/>
          </w:tcPr>
          <w:p w14:paraId="0039C0D7" w14:textId="77777777" w:rsidR="000616CD" w:rsidRPr="00B654D8" w:rsidRDefault="000616CD" w:rsidP="004C1B8F">
            <w:pPr>
              <w:jc w:val="center"/>
              <w:rPr>
                <w:rFonts w:ascii="Times New Roman" w:eastAsia="宋体" w:hAnsi="Times New Roman" w:cs="Times New Roman"/>
                <w:b/>
                <w:kern w:val="0"/>
                <w:sz w:val="24"/>
                <w:szCs w:val="24"/>
              </w:rPr>
            </w:pPr>
            <w:r w:rsidRPr="00B654D8">
              <w:rPr>
                <w:rFonts w:ascii="Times New Roman" w:eastAsia="宋体" w:hAnsi="Times New Roman" w:cs="Times New Roman"/>
                <w:b/>
                <w:kern w:val="0"/>
                <w:sz w:val="24"/>
                <w:szCs w:val="24"/>
              </w:rPr>
              <w:t>情形</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2A7B758" w14:textId="77777777" w:rsidR="000616CD" w:rsidRPr="00B654D8" w:rsidRDefault="000616CD" w:rsidP="004C1B8F">
            <w:pPr>
              <w:jc w:val="center"/>
              <w:rPr>
                <w:rFonts w:ascii="Times New Roman" w:eastAsia="宋体" w:hAnsi="Times New Roman" w:cs="Times New Roman"/>
                <w:b/>
                <w:kern w:val="0"/>
                <w:sz w:val="24"/>
                <w:szCs w:val="24"/>
              </w:rPr>
            </w:pPr>
            <w:r w:rsidRPr="00B654D8">
              <w:rPr>
                <w:rFonts w:ascii="Times New Roman" w:eastAsia="宋体" w:hAnsi="Times New Roman" w:cs="Times New Roman"/>
                <w:b/>
                <w:kern w:val="0"/>
                <w:sz w:val="24"/>
                <w:szCs w:val="24"/>
              </w:rPr>
              <w:t>费率</w:t>
            </w:r>
          </w:p>
        </w:tc>
        <w:tc>
          <w:tcPr>
            <w:tcW w:w="1965" w:type="dxa"/>
            <w:tcBorders>
              <w:top w:val="single" w:sz="4" w:space="0" w:color="auto"/>
              <w:left w:val="single" w:sz="4" w:space="0" w:color="auto"/>
              <w:bottom w:val="single" w:sz="4" w:space="0" w:color="auto"/>
              <w:right w:val="single" w:sz="4" w:space="0" w:color="auto"/>
            </w:tcBorders>
          </w:tcPr>
          <w:p w14:paraId="051EDDBE" w14:textId="77777777" w:rsidR="000616CD" w:rsidRDefault="000616CD" w:rsidP="004C1B8F">
            <w:pPr>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养老金客户</w:t>
            </w:r>
          </w:p>
          <w:p w14:paraId="0AAC37C4" w14:textId="0C2D7222" w:rsidR="000616CD" w:rsidRPr="00B654D8" w:rsidRDefault="000616CD" w:rsidP="004C1B8F">
            <w:pPr>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费率</w:t>
            </w:r>
          </w:p>
        </w:tc>
      </w:tr>
      <w:tr w:rsidR="000616CD" w:rsidRPr="00B654D8" w14:paraId="08D06931" w14:textId="0BE40B96" w:rsidTr="00E731E5">
        <w:trPr>
          <w:trHeight w:val="479"/>
          <w:jc w:val="center"/>
        </w:trPr>
        <w:tc>
          <w:tcPr>
            <w:tcW w:w="1805" w:type="dxa"/>
            <w:vMerge w:val="restart"/>
            <w:tcBorders>
              <w:top w:val="single" w:sz="4" w:space="0" w:color="auto"/>
              <w:left w:val="single" w:sz="4" w:space="0" w:color="auto"/>
              <w:bottom w:val="single" w:sz="4" w:space="0" w:color="auto"/>
              <w:right w:val="single" w:sz="4" w:space="0" w:color="auto"/>
            </w:tcBorders>
            <w:vAlign w:val="center"/>
          </w:tcPr>
          <w:p w14:paraId="03814516" w14:textId="77777777" w:rsidR="000616CD" w:rsidRPr="00B654D8" w:rsidRDefault="000616CD" w:rsidP="004C1B8F">
            <w:pPr>
              <w:jc w:val="center"/>
              <w:rPr>
                <w:rFonts w:ascii="Times New Roman" w:eastAsia="宋体" w:hAnsi="Times New Roman" w:cs="Times New Roman"/>
                <w:b/>
                <w:kern w:val="0"/>
                <w:sz w:val="24"/>
                <w:szCs w:val="24"/>
              </w:rPr>
            </w:pPr>
            <w:r w:rsidRPr="00B654D8">
              <w:rPr>
                <w:rFonts w:ascii="Times New Roman" w:eastAsia="宋体" w:hAnsi="Times New Roman" w:cs="Times New Roman"/>
                <w:b/>
                <w:kern w:val="0"/>
                <w:sz w:val="24"/>
                <w:szCs w:val="24"/>
              </w:rPr>
              <w:t>认购费率</w:t>
            </w:r>
          </w:p>
        </w:tc>
        <w:tc>
          <w:tcPr>
            <w:tcW w:w="2596" w:type="dxa"/>
            <w:tcBorders>
              <w:top w:val="single" w:sz="4" w:space="0" w:color="auto"/>
              <w:left w:val="single" w:sz="4" w:space="0" w:color="auto"/>
              <w:bottom w:val="single" w:sz="4" w:space="0" w:color="auto"/>
              <w:right w:val="single" w:sz="4" w:space="0" w:color="auto"/>
            </w:tcBorders>
            <w:vAlign w:val="center"/>
            <w:hideMark/>
          </w:tcPr>
          <w:p w14:paraId="11441484" w14:textId="77777777" w:rsidR="000616CD" w:rsidRPr="00B654D8" w:rsidRDefault="000616CD"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M</w:t>
            </w:r>
            <w:r w:rsidRPr="00B654D8">
              <w:rPr>
                <w:rFonts w:ascii="Times New Roman" w:eastAsia="宋体" w:hAnsi="Times New Roman" w:cs="Times New Roman"/>
                <w:kern w:val="0"/>
                <w:sz w:val="24"/>
                <w:szCs w:val="24"/>
              </w:rPr>
              <w:t>＜</w:t>
            </w:r>
            <w:r w:rsidRPr="00B654D8">
              <w:rPr>
                <w:rFonts w:ascii="Times New Roman" w:eastAsia="宋体" w:hAnsi="Times New Roman" w:cs="Times New Roman"/>
                <w:kern w:val="0"/>
                <w:sz w:val="24"/>
                <w:szCs w:val="24"/>
              </w:rPr>
              <w:t>100</w:t>
            </w:r>
            <w:r w:rsidRPr="00B654D8">
              <w:rPr>
                <w:rFonts w:ascii="Times New Roman" w:eastAsia="宋体" w:hAnsi="Times New Roman" w:cs="Times New Roman"/>
                <w:kern w:val="0"/>
                <w:sz w:val="24"/>
                <w:szCs w:val="24"/>
              </w:rPr>
              <w:t>万元</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BD3D647" w14:textId="77777777" w:rsidR="000616CD" w:rsidRPr="00B654D8" w:rsidRDefault="000616CD"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0.60%</w:t>
            </w:r>
          </w:p>
        </w:tc>
        <w:tc>
          <w:tcPr>
            <w:tcW w:w="1965" w:type="dxa"/>
            <w:tcBorders>
              <w:top w:val="single" w:sz="4" w:space="0" w:color="auto"/>
              <w:left w:val="single" w:sz="4" w:space="0" w:color="auto"/>
              <w:bottom w:val="single" w:sz="4" w:space="0" w:color="auto"/>
              <w:right w:val="single" w:sz="4" w:space="0" w:color="auto"/>
            </w:tcBorders>
            <w:vAlign w:val="center"/>
          </w:tcPr>
          <w:p w14:paraId="469D2181" w14:textId="5A13923E" w:rsidR="000616CD" w:rsidRPr="00B654D8" w:rsidRDefault="000616CD" w:rsidP="004C1B8F">
            <w:pPr>
              <w:jc w:val="center"/>
              <w:rPr>
                <w:rFonts w:ascii="Times New Roman" w:eastAsia="宋体" w:hAnsi="Times New Roman" w:cs="Times New Roman"/>
                <w:kern w:val="0"/>
                <w:sz w:val="24"/>
                <w:szCs w:val="24"/>
              </w:rPr>
            </w:pPr>
            <w:r w:rsidRPr="00E731E5">
              <w:rPr>
                <w:rFonts w:ascii="Times New Roman" w:eastAsia="宋体" w:hAnsi="Times New Roman" w:cs="Times New Roman"/>
                <w:kern w:val="0"/>
                <w:sz w:val="24"/>
                <w:szCs w:val="24"/>
              </w:rPr>
              <w:t>0.</w:t>
            </w:r>
            <w:r w:rsidRPr="00E731E5">
              <w:rPr>
                <w:rFonts w:ascii="Times New Roman" w:eastAsia="宋体" w:hAnsi="Times New Roman" w:cs="Times New Roman" w:hint="eastAsia"/>
                <w:kern w:val="0"/>
                <w:sz w:val="24"/>
                <w:szCs w:val="24"/>
              </w:rPr>
              <w:t>0</w:t>
            </w:r>
            <w:r w:rsidRPr="00E731E5">
              <w:rPr>
                <w:rFonts w:ascii="Times New Roman" w:eastAsia="宋体" w:hAnsi="Times New Roman" w:cs="Times New Roman"/>
                <w:kern w:val="0"/>
                <w:sz w:val="24"/>
                <w:szCs w:val="24"/>
              </w:rPr>
              <w:t>6%</w:t>
            </w:r>
          </w:p>
        </w:tc>
      </w:tr>
      <w:tr w:rsidR="000616CD" w:rsidRPr="00B654D8" w14:paraId="50DEFC82" w14:textId="151B2B8E" w:rsidTr="00E731E5">
        <w:trPr>
          <w:trHeight w:val="413"/>
          <w:jc w:val="center"/>
        </w:trPr>
        <w:tc>
          <w:tcPr>
            <w:tcW w:w="1805" w:type="dxa"/>
            <w:vMerge/>
            <w:tcBorders>
              <w:top w:val="single" w:sz="4" w:space="0" w:color="auto"/>
              <w:left w:val="single" w:sz="4" w:space="0" w:color="auto"/>
              <w:bottom w:val="single" w:sz="4" w:space="0" w:color="auto"/>
              <w:right w:val="single" w:sz="4" w:space="0" w:color="auto"/>
            </w:tcBorders>
            <w:vAlign w:val="center"/>
            <w:hideMark/>
          </w:tcPr>
          <w:p w14:paraId="3E6038F8" w14:textId="77777777" w:rsidR="000616CD" w:rsidRPr="00B654D8" w:rsidRDefault="000616CD" w:rsidP="004C1B8F">
            <w:pPr>
              <w:widowControl/>
              <w:jc w:val="center"/>
              <w:rPr>
                <w:rFonts w:ascii="Times New Roman" w:eastAsia="宋体" w:hAnsi="Times New Roman" w:cs="Times New Roman"/>
                <w:b/>
                <w:kern w:val="0"/>
                <w:sz w:val="24"/>
                <w:szCs w:val="24"/>
              </w:rPr>
            </w:pPr>
          </w:p>
        </w:tc>
        <w:tc>
          <w:tcPr>
            <w:tcW w:w="2596" w:type="dxa"/>
            <w:tcBorders>
              <w:top w:val="single" w:sz="4" w:space="0" w:color="auto"/>
              <w:left w:val="single" w:sz="4" w:space="0" w:color="auto"/>
              <w:bottom w:val="single" w:sz="4" w:space="0" w:color="auto"/>
              <w:right w:val="single" w:sz="4" w:space="0" w:color="auto"/>
            </w:tcBorders>
            <w:vAlign w:val="center"/>
            <w:hideMark/>
          </w:tcPr>
          <w:p w14:paraId="0C765677" w14:textId="77777777" w:rsidR="000616CD" w:rsidRPr="00B654D8" w:rsidRDefault="000616CD"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100</w:t>
            </w:r>
            <w:r w:rsidRPr="00B654D8">
              <w:rPr>
                <w:rFonts w:ascii="Times New Roman" w:eastAsia="宋体" w:hAnsi="Times New Roman" w:cs="Times New Roman"/>
                <w:kern w:val="0"/>
                <w:sz w:val="24"/>
                <w:szCs w:val="24"/>
              </w:rPr>
              <w:t>万元</w:t>
            </w:r>
            <w:r w:rsidRPr="00B654D8">
              <w:rPr>
                <w:rFonts w:ascii="Times New Roman" w:eastAsia="宋体" w:hAnsi="Times New Roman" w:cs="Times New Roman"/>
                <w:kern w:val="0"/>
                <w:sz w:val="24"/>
                <w:szCs w:val="24"/>
              </w:rPr>
              <w:t>≤M</w:t>
            </w:r>
            <w:r w:rsidRPr="00B654D8">
              <w:rPr>
                <w:rFonts w:ascii="Times New Roman" w:eastAsia="宋体" w:hAnsi="Times New Roman" w:cs="Times New Roman"/>
                <w:kern w:val="0"/>
                <w:sz w:val="24"/>
                <w:szCs w:val="24"/>
              </w:rPr>
              <w:t>＜</w:t>
            </w:r>
            <w:r w:rsidRPr="00B654D8">
              <w:rPr>
                <w:rFonts w:ascii="Times New Roman" w:eastAsia="宋体" w:hAnsi="Times New Roman" w:cs="Times New Roman"/>
                <w:kern w:val="0"/>
                <w:sz w:val="24"/>
                <w:szCs w:val="24"/>
              </w:rPr>
              <w:t>200</w:t>
            </w:r>
            <w:r w:rsidRPr="00B654D8">
              <w:rPr>
                <w:rFonts w:ascii="Times New Roman" w:eastAsia="宋体" w:hAnsi="Times New Roman" w:cs="Times New Roman"/>
                <w:kern w:val="0"/>
                <w:sz w:val="24"/>
                <w:szCs w:val="24"/>
              </w:rPr>
              <w:t>万元</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2DFDAF0" w14:textId="77777777" w:rsidR="000616CD" w:rsidRPr="00B654D8" w:rsidRDefault="000616CD"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0.40%</w:t>
            </w:r>
          </w:p>
        </w:tc>
        <w:tc>
          <w:tcPr>
            <w:tcW w:w="1965" w:type="dxa"/>
            <w:tcBorders>
              <w:top w:val="single" w:sz="4" w:space="0" w:color="auto"/>
              <w:left w:val="single" w:sz="4" w:space="0" w:color="auto"/>
              <w:bottom w:val="single" w:sz="4" w:space="0" w:color="auto"/>
              <w:right w:val="single" w:sz="4" w:space="0" w:color="auto"/>
            </w:tcBorders>
            <w:vAlign w:val="center"/>
          </w:tcPr>
          <w:p w14:paraId="4E62AA52" w14:textId="3BDE4C42" w:rsidR="000616CD" w:rsidRPr="00B654D8" w:rsidRDefault="000616CD" w:rsidP="004C1B8F">
            <w:pPr>
              <w:jc w:val="center"/>
              <w:rPr>
                <w:rFonts w:ascii="Times New Roman" w:eastAsia="宋体" w:hAnsi="Times New Roman" w:cs="Times New Roman"/>
                <w:kern w:val="0"/>
                <w:sz w:val="24"/>
                <w:szCs w:val="24"/>
              </w:rPr>
            </w:pPr>
            <w:r w:rsidRPr="00E731E5">
              <w:rPr>
                <w:rFonts w:ascii="Times New Roman" w:eastAsia="宋体" w:hAnsi="Times New Roman" w:cs="Times New Roman"/>
                <w:kern w:val="0"/>
                <w:sz w:val="24"/>
                <w:szCs w:val="24"/>
              </w:rPr>
              <w:t>0.</w:t>
            </w:r>
            <w:r w:rsidRPr="00E731E5">
              <w:rPr>
                <w:rFonts w:ascii="Times New Roman" w:eastAsia="宋体" w:hAnsi="Times New Roman" w:cs="Times New Roman" w:hint="eastAsia"/>
                <w:kern w:val="0"/>
                <w:sz w:val="24"/>
                <w:szCs w:val="24"/>
              </w:rPr>
              <w:t>0</w:t>
            </w:r>
            <w:r w:rsidRPr="00E731E5">
              <w:rPr>
                <w:rFonts w:ascii="Times New Roman" w:eastAsia="宋体" w:hAnsi="Times New Roman" w:cs="Times New Roman"/>
                <w:kern w:val="0"/>
                <w:sz w:val="24"/>
                <w:szCs w:val="24"/>
              </w:rPr>
              <w:t>4%</w:t>
            </w:r>
          </w:p>
        </w:tc>
      </w:tr>
      <w:tr w:rsidR="000616CD" w:rsidRPr="00B654D8" w14:paraId="2C546750" w14:textId="3A2CED6C" w:rsidTr="00E731E5">
        <w:trPr>
          <w:trHeight w:val="413"/>
          <w:jc w:val="center"/>
        </w:trPr>
        <w:tc>
          <w:tcPr>
            <w:tcW w:w="1805" w:type="dxa"/>
            <w:vMerge/>
            <w:tcBorders>
              <w:top w:val="single" w:sz="4" w:space="0" w:color="auto"/>
              <w:left w:val="single" w:sz="4" w:space="0" w:color="auto"/>
              <w:bottom w:val="single" w:sz="4" w:space="0" w:color="auto"/>
              <w:right w:val="single" w:sz="4" w:space="0" w:color="auto"/>
            </w:tcBorders>
            <w:vAlign w:val="center"/>
            <w:hideMark/>
          </w:tcPr>
          <w:p w14:paraId="1589E078" w14:textId="77777777" w:rsidR="000616CD" w:rsidRPr="00B654D8" w:rsidRDefault="000616CD" w:rsidP="004C1B8F">
            <w:pPr>
              <w:widowControl/>
              <w:jc w:val="center"/>
              <w:rPr>
                <w:rFonts w:ascii="Times New Roman" w:eastAsia="宋体" w:hAnsi="Times New Roman" w:cs="Times New Roman"/>
                <w:b/>
                <w:kern w:val="0"/>
                <w:sz w:val="24"/>
                <w:szCs w:val="24"/>
              </w:rPr>
            </w:pPr>
          </w:p>
        </w:tc>
        <w:tc>
          <w:tcPr>
            <w:tcW w:w="2596" w:type="dxa"/>
            <w:tcBorders>
              <w:top w:val="single" w:sz="4" w:space="0" w:color="auto"/>
              <w:left w:val="single" w:sz="4" w:space="0" w:color="auto"/>
              <w:bottom w:val="single" w:sz="4" w:space="0" w:color="auto"/>
              <w:right w:val="single" w:sz="4" w:space="0" w:color="auto"/>
            </w:tcBorders>
            <w:vAlign w:val="center"/>
            <w:hideMark/>
          </w:tcPr>
          <w:p w14:paraId="65751BE1" w14:textId="77777777" w:rsidR="000616CD" w:rsidRPr="00B654D8" w:rsidRDefault="000616CD"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200</w:t>
            </w:r>
            <w:r w:rsidRPr="00B654D8">
              <w:rPr>
                <w:rFonts w:ascii="Times New Roman" w:eastAsia="宋体" w:hAnsi="Times New Roman" w:cs="Times New Roman"/>
                <w:kern w:val="0"/>
                <w:sz w:val="24"/>
                <w:szCs w:val="24"/>
              </w:rPr>
              <w:t>万元</w:t>
            </w:r>
            <w:r w:rsidRPr="00B654D8">
              <w:rPr>
                <w:rFonts w:ascii="Times New Roman" w:eastAsia="宋体" w:hAnsi="Times New Roman" w:cs="Times New Roman"/>
                <w:kern w:val="0"/>
                <w:sz w:val="24"/>
                <w:szCs w:val="24"/>
              </w:rPr>
              <w:t>≤M</w:t>
            </w:r>
            <w:r w:rsidRPr="00B654D8">
              <w:rPr>
                <w:rFonts w:ascii="Times New Roman" w:eastAsia="宋体" w:hAnsi="Times New Roman" w:cs="Times New Roman"/>
                <w:kern w:val="0"/>
                <w:sz w:val="24"/>
                <w:szCs w:val="24"/>
              </w:rPr>
              <w:t>＜</w:t>
            </w:r>
            <w:r w:rsidRPr="00B654D8">
              <w:rPr>
                <w:rFonts w:ascii="Times New Roman" w:eastAsia="宋体" w:hAnsi="Times New Roman" w:cs="Times New Roman"/>
                <w:kern w:val="0"/>
                <w:sz w:val="24"/>
                <w:szCs w:val="24"/>
              </w:rPr>
              <w:t>500</w:t>
            </w:r>
            <w:r w:rsidRPr="00B654D8">
              <w:rPr>
                <w:rFonts w:ascii="Times New Roman" w:eastAsia="宋体" w:hAnsi="Times New Roman" w:cs="Times New Roman"/>
                <w:kern w:val="0"/>
                <w:sz w:val="24"/>
                <w:szCs w:val="24"/>
              </w:rPr>
              <w:t>万元</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8BB8118" w14:textId="77777777" w:rsidR="000616CD" w:rsidRPr="00B654D8" w:rsidRDefault="000616CD"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0.20%</w:t>
            </w:r>
          </w:p>
        </w:tc>
        <w:tc>
          <w:tcPr>
            <w:tcW w:w="1965" w:type="dxa"/>
            <w:tcBorders>
              <w:top w:val="single" w:sz="4" w:space="0" w:color="auto"/>
              <w:left w:val="single" w:sz="4" w:space="0" w:color="auto"/>
              <w:bottom w:val="single" w:sz="4" w:space="0" w:color="auto"/>
              <w:right w:val="single" w:sz="4" w:space="0" w:color="auto"/>
            </w:tcBorders>
            <w:vAlign w:val="center"/>
          </w:tcPr>
          <w:p w14:paraId="689D15B5" w14:textId="5A2063DB" w:rsidR="000616CD" w:rsidRPr="00B654D8" w:rsidRDefault="000616CD" w:rsidP="004C1B8F">
            <w:pPr>
              <w:jc w:val="center"/>
              <w:rPr>
                <w:rFonts w:ascii="Times New Roman" w:eastAsia="宋体" w:hAnsi="Times New Roman" w:cs="Times New Roman"/>
                <w:kern w:val="0"/>
                <w:sz w:val="24"/>
                <w:szCs w:val="24"/>
              </w:rPr>
            </w:pPr>
            <w:r w:rsidRPr="00E731E5">
              <w:rPr>
                <w:rFonts w:ascii="Times New Roman" w:eastAsia="宋体" w:hAnsi="Times New Roman" w:cs="Times New Roman"/>
                <w:kern w:val="0"/>
                <w:sz w:val="24"/>
                <w:szCs w:val="24"/>
              </w:rPr>
              <w:t>0.</w:t>
            </w:r>
            <w:r w:rsidRPr="00E731E5">
              <w:rPr>
                <w:rFonts w:ascii="Times New Roman" w:eastAsia="宋体" w:hAnsi="Times New Roman" w:cs="Times New Roman" w:hint="eastAsia"/>
                <w:kern w:val="0"/>
                <w:sz w:val="24"/>
                <w:szCs w:val="24"/>
              </w:rPr>
              <w:t>0</w:t>
            </w:r>
            <w:r w:rsidRPr="00E731E5">
              <w:rPr>
                <w:rFonts w:ascii="Times New Roman" w:eastAsia="宋体" w:hAnsi="Times New Roman" w:cs="Times New Roman"/>
                <w:kern w:val="0"/>
                <w:sz w:val="24"/>
                <w:szCs w:val="24"/>
              </w:rPr>
              <w:t>2%</w:t>
            </w:r>
          </w:p>
        </w:tc>
      </w:tr>
      <w:tr w:rsidR="000616CD" w:rsidRPr="00B654D8" w14:paraId="13B67B6B" w14:textId="6D56B9E9" w:rsidTr="00E731E5">
        <w:trPr>
          <w:trHeight w:val="413"/>
          <w:jc w:val="center"/>
        </w:trPr>
        <w:tc>
          <w:tcPr>
            <w:tcW w:w="1805" w:type="dxa"/>
            <w:vMerge/>
            <w:tcBorders>
              <w:top w:val="single" w:sz="4" w:space="0" w:color="auto"/>
              <w:left w:val="single" w:sz="4" w:space="0" w:color="auto"/>
              <w:bottom w:val="single" w:sz="4" w:space="0" w:color="auto"/>
              <w:right w:val="single" w:sz="4" w:space="0" w:color="auto"/>
            </w:tcBorders>
            <w:vAlign w:val="center"/>
            <w:hideMark/>
          </w:tcPr>
          <w:p w14:paraId="3D0C29A0" w14:textId="77777777" w:rsidR="000616CD" w:rsidRPr="00B654D8" w:rsidRDefault="000616CD" w:rsidP="004C1B8F">
            <w:pPr>
              <w:widowControl/>
              <w:jc w:val="center"/>
              <w:rPr>
                <w:rFonts w:ascii="Times New Roman" w:eastAsia="宋体" w:hAnsi="Times New Roman" w:cs="Times New Roman"/>
                <w:b/>
                <w:kern w:val="0"/>
                <w:sz w:val="24"/>
                <w:szCs w:val="24"/>
              </w:rPr>
            </w:pPr>
          </w:p>
        </w:tc>
        <w:tc>
          <w:tcPr>
            <w:tcW w:w="2596" w:type="dxa"/>
            <w:tcBorders>
              <w:top w:val="single" w:sz="4" w:space="0" w:color="auto"/>
              <w:left w:val="single" w:sz="4" w:space="0" w:color="auto"/>
              <w:bottom w:val="single" w:sz="4" w:space="0" w:color="auto"/>
              <w:right w:val="single" w:sz="4" w:space="0" w:color="auto"/>
            </w:tcBorders>
            <w:vAlign w:val="center"/>
            <w:hideMark/>
          </w:tcPr>
          <w:p w14:paraId="16A5B67F" w14:textId="77777777" w:rsidR="000616CD" w:rsidRPr="00B654D8" w:rsidRDefault="000616CD"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M≥500</w:t>
            </w:r>
            <w:r w:rsidRPr="00B654D8">
              <w:rPr>
                <w:rFonts w:ascii="Times New Roman" w:eastAsia="宋体" w:hAnsi="Times New Roman" w:cs="Times New Roman"/>
                <w:kern w:val="0"/>
                <w:sz w:val="24"/>
                <w:szCs w:val="24"/>
              </w:rPr>
              <w:t>万元</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E56D1AB" w14:textId="77777777" w:rsidR="000616CD" w:rsidRPr="00B654D8" w:rsidRDefault="000616CD"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每笔</w:t>
            </w:r>
            <w:r w:rsidRPr="00B654D8">
              <w:rPr>
                <w:rFonts w:ascii="Times New Roman" w:eastAsia="宋体" w:hAnsi="Times New Roman" w:cs="Times New Roman"/>
                <w:kern w:val="0"/>
                <w:sz w:val="24"/>
                <w:szCs w:val="24"/>
              </w:rPr>
              <w:t>1000</w:t>
            </w:r>
            <w:r w:rsidRPr="00B654D8">
              <w:rPr>
                <w:rFonts w:ascii="Times New Roman" w:eastAsia="宋体" w:hAnsi="Times New Roman" w:cs="Times New Roman"/>
                <w:kern w:val="0"/>
                <w:sz w:val="24"/>
                <w:szCs w:val="24"/>
              </w:rPr>
              <w:t>元</w:t>
            </w:r>
          </w:p>
        </w:tc>
        <w:tc>
          <w:tcPr>
            <w:tcW w:w="1965" w:type="dxa"/>
            <w:tcBorders>
              <w:top w:val="single" w:sz="4" w:space="0" w:color="auto"/>
              <w:left w:val="single" w:sz="4" w:space="0" w:color="auto"/>
              <w:bottom w:val="single" w:sz="4" w:space="0" w:color="auto"/>
              <w:right w:val="single" w:sz="4" w:space="0" w:color="auto"/>
            </w:tcBorders>
            <w:vAlign w:val="center"/>
          </w:tcPr>
          <w:p w14:paraId="332714D5" w14:textId="27A3A745" w:rsidR="000616CD" w:rsidRPr="00B654D8" w:rsidRDefault="000616CD" w:rsidP="004C1B8F">
            <w:pPr>
              <w:jc w:val="center"/>
              <w:rPr>
                <w:rFonts w:ascii="Times New Roman" w:eastAsia="宋体" w:hAnsi="Times New Roman" w:cs="Times New Roman"/>
                <w:kern w:val="0"/>
                <w:sz w:val="24"/>
                <w:szCs w:val="24"/>
              </w:rPr>
            </w:pPr>
            <w:r w:rsidRPr="00E731E5">
              <w:rPr>
                <w:rFonts w:ascii="Times New Roman" w:eastAsia="宋体" w:hAnsi="Times New Roman" w:cs="Times New Roman"/>
                <w:kern w:val="0"/>
                <w:sz w:val="24"/>
                <w:szCs w:val="24"/>
              </w:rPr>
              <w:t>每笔</w:t>
            </w:r>
            <w:r w:rsidRPr="00E731E5">
              <w:rPr>
                <w:rFonts w:ascii="Times New Roman" w:eastAsia="宋体" w:hAnsi="Times New Roman" w:cs="Times New Roman"/>
                <w:kern w:val="0"/>
                <w:sz w:val="24"/>
                <w:szCs w:val="24"/>
              </w:rPr>
              <w:t>100</w:t>
            </w:r>
            <w:r w:rsidRPr="00E731E5">
              <w:rPr>
                <w:rFonts w:ascii="Times New Roman" w:eastAsia="宋体" w:hAnsi="Times New Roman" w:cs="Times New Roman"/>
                <w:kern w:val="0"/>
                <w:sz w:val="24"/>
                <w:szCs w:val="24"/>
              </w:rPr>
              <w:t>元</w:t>
            </w:r>
          </w:p>
        </w:tc>
      </w:tr>
      <w:tr w:rsidR="00BD5F85" w:rsidRPr="00B654D8" w14:paraId="16F10346" w14:textId="7D570C83" w:rsidTr="00E731E5">
        <w:trPr>
          <w:trHeight w:val="366"/>
          <w:jc w:val="center"/>
        </w:trPr>
        <w:tc>
          <w:tcPr>
            <w:tcW w:w="1805" w:type="dxa"/>
            <w:vMerge w:val="restart"/>
            <w:tcBorders>
              <w:top w:val="single" w:sz="4" w:space="0" w:color="auto"/>
              <w:left w:val="single" w:sz="4" w:space="0" w:color="auto"/>
              <w:bottom w:val="single" w:sz="4" w:space="0" w:color="auto"/>
              <w:right w:val="single" w:sz="4" w:space="0" w:color="auto"/>
            </w:tcBorders>
            <w:vAlign w:val="center"/>
          </w:tcPr>
          <w:p w14:paraId="5AA979BB" w14:textId="77777777" w:rsidR="00BD5F85" w:rsidRPr="00B654D8" w:rsidRDefault="00BD5F85" w:rsidP="004C1B8F">
            <w:pPr>
              <w:jc w:val="center"/>
              <w:rPr>
                <w:rFonts w:ascii="Times New Roman" w:eastAsia="宋体" w:hAnsi="Times New Roman" w:cs="Times New Roman"/>
                <w:b/>
                <w:kern w:val="0"/>
                <w:sz w:val="24"/>
                <w:szCs w:val="24"/>
              </w:rPr>
            </w:pPr>
            <w:r w:rsidRPr="00B654D8">
              <w:rPr>
                <w:rFonts w:ascii="Times New Roman" w:eastAsia="宋体" w:hAnsi="Times New Roman" w:cs="Times New Roman"/>
                <w:b/>
                <w:kern w:val="0"/>
                <w:sz w:val="24"/>
                <w:szCs w:val="24"/>
              </w:rPr>
              <w:t>申购费率</w:t>
            </w:r>
          </w:p>
        </w:tc>
        <w:tc>
          <w:tcPr>
            <w:tcW w:w="2596" w:type="dxa"/>
            <w:tcBorders>
              <w:top w:val="single" w:sz="4" w:space="0" w:color="auto"/>
              <w:left w:val="single" w:sz="4" w:space="0" w:color="auto"/>
              <w:bottom w:val="single" w:sz="4" w:space="0" w:color="auto"/>
              <w:right w:val="single" w:sz="4" w:space="0" w:color="auto"/>
            </w:tcBorders>
            <w:hideMark/>
          </w:tcPr>
          <w:p w14:paraId="32AFEE2D" w14:textId="77777777" w:rsidR="00BD5F85" w:rsidRPr="00B654D8" w:rsidRDefault="00BD5F85"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M</w:t>
            </w:r>
            <w:r w:rsidRPr="00B654D8">
              <w:rPr>
                <w:rFonts w:ascii="Times New Roman" w:eastAsia="宋体" w:hAnsi="Times New Roman" w:cs="Times New Roman"/>
                <w:kern w:val="0"/>
                <w:sz w:val="24"/>
                <w:szCs w:val="24"/>
              </w:rPr>
              <w:t>＜</w:t>
            </w:r>
            <w:r w:rsidRPr="00B654D8">
              <w:rPr>
                <w:rFonts w:ascii="Times New Roman" w:eastAsia="宋体" w:hAnsi="Times New Roman" w:cs="Times New Roman"/>
                <w:kern w:val="0"/>
                <w:sz w:val="24"/>
                <w:szCs w:val="24"/>
              </w:rPr>
              <w:t>100</w:t>
            </w:r>
            <w:r w:rsidRPr="00B654D8">
              <w:rPr>
                <w:rFonts w:ascii="Times New Roman" w:eastAsia="宋体" w:hAnsi="Times New Roman" w:cs="Times New Roman"/>
                <w:kern w:val="0"/>
                <w:sz w:val="24"/>
                <w:szCs w:val="24"/>
              </w:rPr>
              <w:t>万元</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250F5C3" w14:textId="77777777" w:rsidR="00BD5F85" w:rsidRPr="00B654D8" w:rsidRDefault="00BD5F85"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0.80%</w:t>
            </w:r>
          </w:p>
        </w:tc>
        <w:tc>
          <w:tcPr>
            <w:tcW w:w="1965" w:type="dxa"/>
            <w:tcBorders>
              <w:top w:val="single" w:sz="4" w:space="0" w:color="auto"/>
              <w:left w:val="single" w:sz="4" w:space="0" w:color="auto"/>
              <w:bottom w:val="single" w:sz="4" w:space="0" w:color="auto"/>
              <w:right w:val="single" w:sz="4" w:space="0" w:color="auto"/>
            </w:tcBorders>
            <w:vAlign w:val="center"/>
          </w:tcPr>
          <w:p w14:paraId="0F87F554" w14:textId="5B6B46C2" w:rsidR="00BD5F85" w:rsidRPr="00B654D8" w:rsidRDefault="00BD5F85" w:rsidP="004C1B8F">
            <w:pPr>
              <w:jc w:val="center"/>
              <w:rPr>
                <w:rFonts w:ascii="Times New Roman" w:eastAsia="宋体" w:hAnsi="Times New Roman" w:cs="Times New Roman"/>
                <w:kern w:val="0"/>
                <w:sz w:val="24"/>
                <w:szCs w:val="24"/>
              </w:rPr>
            </w:pPr>
            <w:r w:rsidRPr="00E731E5">
              <w:rPr>
                <w:rFonts w:ascii="Times New Roman" w:eastAsia="宋体" w:hAnsi="Times New Roman" w:cs="Times New Roman"/>
                <w:kern w:val="0"/>
                <w:sz w:val="24"/>
                <w:szCs w:val="24"/>
              </w:rPr>
              <w:t>0.</w:t>
            </w:r>
            <w:r w:rsidRPr="00E731E5">
              <w:rPr>
                <w:rFonts w:ascii="Times New Roman" w:eastAsia="宋体" w:hAnsi="Times New Roman" w:cs="Times New Roman" w:hint="eastAsia"/>
                <w:kern w:val="0"/>
                <w:sz w:val="24"/>
                <w:szCs w:val="24"/>
              </w:rPr>
              <w:t>0</w:t>
            </w:r>
            <w:r w:rsidRPr="00E731E5">
              <w:rPr>
                <w:rFonts w:ascii="Times New Roman" w:eastAsia="宋体" w:hAnsi="Times New Roman" w:cs="Times New Roman"/>
                <w:kern w:val="0"/>
                <w:sz w:val="24"/>
                <w:szCs w:val="24"/>
              </w:rPr>
              <w:t>8%</w:t>
            </w:r>
          </w:p>
        </w:tc>
      </w:tr>
      <w:tr w:rsidR="00BD5F85" w:rsidRPr="00B654D8" w14:paraId="4B3823F1" w14:textId="6DDB5507" w:rsidTr="00E731E5">
        <w:trPr>
          <w:trHeight w:val="325"/>
          <w:jc w:val="center"/>
        </w:trPr>
        <w:tc>
          <w:tcPr>
            <w:tcW w:w="1805" w:type="dxa"/>
            <w:vMerge/>
            <w:tcBorders>
              <w:top w:val="single" w:sz="4" w:space="0" w:color="auto"/>
              <w:left w:val="single" w:sz="4" w:space="0" w:color="auto"/>
              <w:bottom w:val="single" w:sz="4" w:space="0" w:color="auto"/>
              <w:right w:val="single" w:sz="4" w:space="0" w:color="auto"/>
            </w:tcBorders>
            <w:vAlign w:val="center"/>
            <w:hideMark/>
          </w:tcPr>
          <w:p w14:paraId="37174835" w14:textId="77777777" w:rsidR="00BD5F85" w:rsidRPr="00B654D8" w:rsidRDefault="00BD5F85" w:rsidP="004C1B8F">
            <w:pPr>
              <w:widowControl/>
              <w:jc w:val="center"/>
              <w:rPr>
                <w:rFonts w:ascii="Times New Roman" w:eastAsia="宋体" w:hAnsi="Times New Roman" w:cs="Times New Roman"/>
                <w:b/>
                <w:kern w:val="0"/>
                <w:sz w:val="24"/>
                <w:szCs w:val="24"/>
              </w:rPr>
            </w:pPr>
          </w:p>
        </w:tc>
        <w:tc>
          <w:tcPr>
            <w:tcW w:w="2596" w:type="dxa"/>
            <w:tcBorders>
              <w:top w:val="single" w:sz="4" w:space="0" w:color="auto"/>
              <w:left w:val="single" w:sz="4" w:space="0" w:color="auto"/>
              <w:bottom w:val="single" w:sz="4" w:space="0" w:color="auto"/>
              <w:right w:val="single" w:sz="4" w:space="0" w:color="auto"/>
            </w:tcBorders>
            <w:hideMark/>
          </w:tcPr>
          <w:p w14:paraId="1339E070" w14:textId="77777777" w:rsidR="00BD5F85" w:rsidRPr="00B654D8" w:rsidRDefault="00BD5F85"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100</w:t>
            </w:r>
            <w:r w:rsidRPr="00B654D8">
              <w:rPr>
                <w:rFonts w:ascii="Times New Roman" w:eastAsia="宋体" w:hAnsi="Times New Roman" w:cs="Times New Roman"/>
                <w:kern w:val="0"/>
                <w:sz w:val="24"/>
                <w:szCs w:val="24"/>
              </w:rPr>
              <w:t>万元</w:t>
            </w:r>
            <w:r w:rsidRPr="00B654D8">
              <w:rPr>
                <w:rFonts w:ascii="Times New Roman" w:eastAsia="宋体" w:hAnsi="Times New Roman" w:cs="Times New Roman"/>
                <w:kern w:val="0"/>
                <w:sz w:val="24"/>
                <w:szCs w:val="24"/>
              </w:rPr>
              <w:t>≤M</w:t>
            </w:r>
            <w:r w:rsidRPr="00B654D8">
              <w:rPr>
                <w:rFonts w:ascii="Times New Roman" w:eastAsia="宋体" w:hAnsi="Times New Roman" w:cs="Times New Roman"/>
                <w:kern w:val="0"/>
                <w:sz w:val="24"/>
                <w:szCs w:val="24"/>
              </w:rPr>
              <w:t>＜</w:t>
            </w:r>
            <w:r w:rsidRPr="00B654D8">
              <w:rPr>
                <w:rFonts w:ascii="Times New Roman" w:eastAsia="宋体" w:hAnsi="Times New Roman" w:cs="Times New Roman"/>
                <w:kern w:val="0"/>
                <w:sz w:val="24"/>
                <w:szCs w:val="24"/>
              </w:rPr>
              <w:t>200</w:t>
            </w:r>
            <w:r w:rsidRPr="00B654D8">
              <w:rPr>
                <w:rFonts w:ascii="Times New Roman" w:eastAsia="宋体" w:hAnsi="Times New Roman" w:cs="Times New Roman"/>
                <w:kern w:val="0"/>
                <w:sz w:val="24"/>
                <w:szCs w:val="24"/>
              </w:rPr>
              <w:t>万元</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E63F198" w14:textId="77777777" w:rsidR="00BD5F85" w:rsidRPr="00B654D8" w:rsidRDefault="00BD5F85"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0.60%</w:t>
            </w:r>
          </w:p>
        </w:tc>
        <w:tc>
          <w:tcPr>
            <w:tcW w:w="1965" w:type="dxa"/>
            <w:tcBorders>
              <w:top w:val="single" w:sz="4" w:space="0" w:color="auto"/>
              <w:left w:val="single" w:sz="4" w:space="0" w:color="auto"/>
              <w:bottom w:val="single" w:sz="4" w:space="0" w:color="auto"/>
              <w:right w:val="single" w:sz="4" w:space="0" w:color="auto"/>
            </w:tcBorders>
            <w:vAlign w:val="center"/>
          </w:tcPr>
          <w:p w14:paraId="1259F29E" w14:textId="3D865FF0" w:rsidR="00BD5F85" w:rsidRPr="00B654D8" w:rsidRDefault="00BD5F85" w:rsidP="004C1B8F">
            <w:pPr>
              <w:jc w:val="center"/>
              <w:rPr>
                <w:rFonts w:ascii="Times New Roman" w:eastAsia="宋体" w:hAnsi="Times New Roman" w:cs="Times New Roman"/>
                <w:kern w:val="0"/>
                <w:sz w:val="24"/>
                <w:szCs w:val="24"/>
              </w:rPr>
            </w:pPr>
            <w:r w:rsidRPr="00E731E5">
              <w:rPr>
                <w:rFonts w:ascii="Times New Roman" w:eastAsia="宋体" w:hAnsi="Times New Roman" w:cs="Times New Roman"/>
                <w:kern w:val="0"/>
                <w:sz w:val="24"/>
                <w:szCs w:val="24"/>
              </w:rPr>
              <w:t>0.</w:t>
            </w:r>
            <w:r w:rsidRPr="00E731E5">
              <w:rPr>
                <w:rFonts w:ascii="Times New Roman" w:eastAsia="宋体" w:hAnsi="Times New Roman" w:cs="Times New Roman" w:hint="eastAsia"/>
                <w:kern w:val="0"/>
                <w:sz w:val="24"/>
                <w:szCs w:val="24"/>
              </w:rPr>
              <w:t>0</w:t>
            </w:r>
            <w:r w:rsidRPr="00E731E5">
              <w:rPr>
                <w:rFonts w:ascii="Times New Roman" w:eastAsia="宋体" w:hAnsi="Times New Roman" w:cs="Times New Roman"/>
                <w:kern w:val="0"/>
                <w:sz w:val="24"/>
                <w:szCs w:val="24"/>
              </w:rPr>
              <w:t>6%</w:t>
            </w:r>
          </w:p>
        </w:tc>
      </w:tr>
      <w:tr w:rsidR="00BD5F85" w:rsidRPr="00B654D8" w14:paraId="56485F21" w14:textId="1FBD61A8" w:rsidTr="00E731E5">
        <w:trPr>
          <w:trHeight w:val="325"/>
          <w:jc w:val="center"/>
        </w:trPr>
        <w:tc>
          <w:tcPr>
            <w:tcW w:w="1805" w:type="dxa"/>
            <w:vMerge/>
            <w:tcBorders>
              <w:top w:val="single" w:sz="4" w:space="0" w:color="auto"/>
              <w:left w:val="single" w:sz="4" w:space="0" w:color="auto"/>
              <w:bottom w:val="single" w:sz="4" w:space="0" w:color="auto"/>
              <w:right w:val="single" w:sz="4" w:space="0" w:color="auto"/>
            </w:tcBorders>
            <w:vAlign w:val="center"/>
            <w:hideMark/>
          </w:tcPr>
          <w:p w14:paraId="43C7B895" w14:textId="77777777" w:rsidR="00BD5F85" w:rsidRPr="00B654D8" w:rsidRDefault="00BD5F85" w:rsidP="004C1B8F">
            <w:pPr>
              <w:widowControl/>
              <w:jc w:val="center"/>
              <w:rPr>
                <w:rFonts w:ascii="Times New Roman" w:eastAsia="宋体" w:hAnsi="Times New Roman" w:cs="Times New Roman"/>
                <w:b/>
                <w:kern w:val="0"/>
                <w:sz w:val="24"/>
                <w:szCs w:val="24"/>
              </w:rPr>
            </w:pPr>
          </w:p>
        </w:tc>
        <w:tc>
          <w:tcPr>
            <w:tcW w:w="2596" w:type="dxa"/>
            <w:tcBorders>
              <w:top w:val="single" w:sz="4" w:space="0" w:color="auto"/>
              <w:left w:val="single" w:sz="4" w:space="0" w:color="auto"/>
              <w:bottom w:val="single" w:sz="4" w:space="0" w:color="auto"/>
              <w:right w:val="single" w:sz="4" w:space="0" w:color="auto"/>
            </w:tcBorders>
            <w:hideMark/>
          </w:tcPr>
          <w:p w14:paraId="6000F269" w14:textId="77777777" w:rsidR="00BD5F85" w:rsidRPr="00B654D8" w:rsidRDefault="00BD5F85"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200</w:t>
            </w:r>
            <w:r w:rsidRPr="00B654D8">
              <w:rPr>
                <w:rFonts w:ascii="Times New Roman" w:eastAsia="宋体" w:hAnsi="Times New Roman" w:cs="Times New Roman"/>
                <w:kern w:val="0"/>
                <w:sz w:val="24"/>
                <w:szCs w:val="24"/>
              </w:rPr>
              <w:t>万元</w:t>
            </w:r>
            <w:r w:rsidRPr="00B654D8">
              <w:rPr>
                <w:rFonts w:ascii="Times New Roman" w:eastAsia="宋体" w:hAnsi="Times New Roman" w:cs="Times New Roman"/>
                <w:kern w:val="0"/>
                <w:sz w:val="24"/>
                <w:szCs w:val="24"/>
              </w:rPr>
              <w:t>≤M</w:t>
            </w:r>
            <w:r w:rsidRPr="00B654D8">
              <w:rPr>
                <w:rFonts w:ascii="Times New Roman" w:eastAsia="宋体" w:hAnsi="Times New Roman" w:cs="Times New Roman"/>
                <w:kern w:val="0"/>
                <w:sz w:val="24"/>
                <w:szCs w:val="24"/>
              </w:rPr>
              <w:t>＜</w:t>
            </w:r>
            <w:r w:rsidRPr="00B654D8">
              <w:rPr>
                <w:rFonts w:ascii="Times New Roman" w:eastAsia="宋体" w:hAnsi="Times New Roman" w:cs="Times New Roman"/>
                <w:kern w:val="0"/>
                <w:sz w:val="24"/>
                <w:szCs w:val="24"/>
              </w:rPr>
              <w:t>500</w:t>
            </w:r>
            <w:r w:rsidRPr="00B654D8">
              <w:rPr>
                <w:rFonts w:ascii="Times New Roman" w:eastAsia="宋体" w:hAnsi="Times New Roman" w:cs="Times New Roman"/>
                <w:kern w:val="0"/>
                <w:sz w:val="24"/>
                <w:szCs w:val="24"/>
              </w:rPr>
              <w:t>万元</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F608E86" w14:textId="77777777" w:rsidR="00BD5F85" w:rsidRPr="00B654D8" w:rsidRDefault="00BD5F85"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0.40%</w:t>
            </w:r>
          </w:p>
        </w:tc>
        <w:tc>
          <w:tcPr>
            <w:tcW w:w="1965" w:type="dxa"/>
            <w:tcBorders>
              <w:top w:val="single" w:sz="4" w:space="0" w:color="auto"/>
              <w:left w:val="single" w:sz="4" w:space="0" w:color="auto"/>
              <w:bottom w:val="single" w:sz="4" w:space="0" w:color="auto"/>
              <w:right w:val="single" w:sz="4" w:space="0" w:color="auto"/>
            </w:tcBorders>
            <w:vAlign w:val="center"/>
          </w:tcPr>
          <w:p w14:paraId="3F581DBB" w14:textId="671B3D65" w:rsidR="00BD5F85" w:rsidRPr="00B654D8" w:rsidRDefault="00BD5F85" w:rsidP="004C1B8F">
            <w:pPr>
              <w:jc w:val="center"/>
              <w:rPr>
                <w:rFonts w:ascii="Times New Roman" w:eastAsia="宋体" w:hAnsi="Times New Roman" w:cs="Times New Roman"/>
                <w:kern w:val="0"/>
                <w:sz w:val="24"/>
                <w:szCs w:val="24"/>
              </w:rPr>
            </w:pPr>
            <w:r w:rsidRPr="00E731E5">
              <w:rPr>
                <w:rFonts w:ascii="Times New Roman" w:eastAsia="宋体" w:hAnsi="Times New Roman" w:cs="Times New Roman"/>
                <w:kern w:val="0"/>
                <w:sz w:val="24"/>
                <w:szCs w:val="24"/>
              </w:rPr>
              <w:t>0.</w:t>
            </w:r>
            <w:r w:rsidRPr="00E731E5">
              <w:rPr>
                <w:rFonts w:ascii="Times New Roman" w:eastAsia="宋体" w:hAnsi="Times New Roman" w:cs="Times New Roman" w:hint="eastAsia"/>
                <w:kern w:val="0"/>
                <w:sz w:val="24"/>
                <w:szCs w:val="24"/>
              </w:rPr>
              <w:t>0</w:t>
            </w:r>
            <w:r w:rsidRPr="00E731E5">
              <w:rPr>
                <w:rFonts w:ascii="Times New Roman" w:eastAsia="宋体" w:hAnsi="Times New Roman" w:cs="Times New Roman"/>
                <w:kern w:val="0"/>
                <w:sz w:val="24"/>
                <w:szCs w:val="24"/>
              </w:rPr>
              <w:t>4%</w:t>
            </w:r>
          </w:p>
        </w:tc>
      </w:tr>
      <w:tr w:rsidR="00BD5F85" w:rsidRPr="00B654D8" w14:paraId="1E763527" w14:textId="32797583" w:rsidTr="00E731E5">
        <w:trPr>
          <w:trHeight w:val="325"/>
          <w:jc w:val="center"/>
        </w:trPr>
        <w:tc>
          <w:tcPr>
            <w:tcW w:w="1805" w:type="dxa"/>
            <w:vMerge/>
            <w:tcBorders>
              <w:top w:val="single" w:sz="4" w:space="0" w:color="auto"/>
              <w:left w:val="single" w:sz="4" w:space="0" w:color="auto"/>
              <w:bottom w:val="single" w:sz="4" w:space="0" w:color="auto"/>
              <w:right w:val="single" w:sz="4" w:space="0" w:color="auto"/>
            </w:tcBorders>
            <w:vAlign w:val="center"/>
            <w:hideMark/>
          </w:tcPr>
          <w:p w14:paraId="31765486" w14:textId="77777777" w:rsidR="00BD5F85" w:rsidRPr="00B654D8" w:rsidRDefault="00BD5F85" w:rsidP="004C1B8F">
            <w:pPr>
              <w:widowControl/>
              <w:jc w:val="center"/>
              <w:rPr>
                <w:rFonts w:ascii="Times New Roman" w:eastAsia="宋体" w:hAnsi="Times New Roman" w:cs="Times New Roman"/>
                <w:b/>
                <w:kern w:val="0"/>
                <w:sz w:val="24"/>
                <w:szCs w:val="24"/>
              </w:rPr>
            </w:pPr>
          </w:p>
        </w:tc>
        <w:tc>
          <w:tcPr>
            <w:tcW w:w="2596" w:type="dxa"/>
            <w:tcBorders>
              <w:top w:val="single" w:sz="4" w:space="0" w:color="auto"/>
              <w:left w:val="single" w:sz="4" w:space="0" w:color="auto"/>
              <w:bottom w:val="single" w:sz="4" w:space="0" w:color="auto"/>
              <w:right w:val="single" w:sz="4" w:space="0" w:color="auto"/>
            </w:tcBorders>
            <w:hideMark/>
          </w:tcPr>
          <w:p w14:paraId="239562DC" w14:textId="77777777" w:rsidR="00BD5F85" w:rsidRPr="00B654D8" w:rsidRDefault="00BD5F85"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M≥500</w:t>
            </w:r>
            <w:r w:rsidRPr="00B654D8">
              <w:rPr>
                <w:rFonts w:ascii="Times New Roman" w:eastAsia="宋体" w:hAnsi="Times New Roman" w:cs="Times New Roman"/>
                <w:kern w:val="0"/>
                <w:sz w:val="24"/>
                <w:szCs w:val="24"/>
              </w:rPr>
              <w:t>万元</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4FE6505" w14:textId="77777777" w:rsidR="00BD5F85" w:rsidRPr="00B654D8" w:rsidRDefault="00BD5F85"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每笔</w:t>
            </w:r>
            <w:r w:rsidRPr="00B654D8">
              <w:rPr>
                <w:rFonts w:ascii="Times New Roman" w:eastAsia="宋体" w:hAnsi="Times New Roman" w:cs="Times New Roman"/>
                <w:kern w:val="0"/>
                <w:sz w:val="24"/>
                <w:szCs w:val="24"/>
              </w:rPr>
              <w:t>1000</w:t>
            </w:r>
            <w:r w:rsidRPr="00B654D8">
              <w:rPr>
                <w:rFonts w:ascii="Times New Roman" w:eastAsia="宋体" w:hAnsi="Times New Roman" w:cs="Times New Roman"/>
                <w:kern w:val="0"/>
                <w:sz w:val="24"/>
                <w:szCs w:val="24"/>
              </w:rPr>
              <w:t>元</w:t>
            </w:r>
          </w:p>
        </w:tc>
        <w:tc>
          <w:tcPr>
            <w:tcW w:w="1965" w:type="dxa"/>
            <w:tcBorders>
              <w:top w:val="single" w:sz="4" w:space="0" w:color="auto"/>
              <w:left w:val="single" w:sz="4" w:space="0" w:color="auto"/>
              <w:bottom w:val="single" w:sz="4" w:space="0" w:color="auto"/>
              <w:right w:val="single" w:sz="4" w:space="0" w:color="auto"/>
            </w:tcBorders>
            <w:vAlign w:val="center"/>
          </w:tcPr>
          <w:p w14:paraId="789DEF9D" w14:textId="1B0F4946" w:rsidR="00BD5F85" w:rsidRPr="00B654D8" w:rsidRDefault="00BD5F85" w:rsidP="004C1B8F">
            <w:pPr>
              <w:jc w:val="center"/>
              <w:rPr>
                <w:rFonts w:ascii="Times New Roman" w:eastAsia="宋体" w:hAnsi="Times New Roman" w:cs="Times New Roman"/>
                <w:kern w:val="0"/>
                <w:sz w:val="24"/>
                <w:szCs w:val="24"/>
              </w:rPr>
            </w:pPr>
            <w:r w:rsidRPr="00E731E5">
              <w:rPr>
                <w:rFonts w:ascii="Times New Roman" w:eastAsia="宋体" w:hAnsi="Times New Roman" w:cs="Times New Roman"/>
                <w:kern w:val="0"/>
                <w:sz w:val="24"/>
                <w:szCs w:val="24"/>
              </w:rPr>
              <w:t>每笔</w:t>
            </w:r>
            <w:r w:rsidRPr="00E731E5">
              <w:rPr>
                <w:rFonts w:ascii="Times New Roman" w:eastAsia="宋体" w:hAnsi="Times New Roman" w:cs="Times New Roman"/>
                <w:kern w:val="0"/>
                <w:sz w:val="24"/>
                <w:szCs w:val="24"/>
              </w:rPr>
              <w:t>100</w:t>
            </w:r>
            <w:r w:rsidRPr="00E731E5">
              <w:rPr>
                <w:rFonts w:ascii="Times New Roman" w:eastAsia="宋体" w:hAnsi="Times New Roman" w:cs="Times New Roman"/>
                <w:kern w:val="0"/>
                <w:sz w:val="24"/>
                <w:szCs w:val="24"/>
              </w:rPr>
              <w:t>元</w:t>
            </w:r>
          </w:p>
        </w:tc>
      </w:tr>
      <w:tr w:rsidR="00E731E5" w:rsidRPr="00B654D8" w14:paraId="0EBA06B1" w14:textId="5DFE4FBF" w:rsidTr="006D3315">
        <w:trPr>
          <w:trHeight w:val="213"/>
          <w:jc w:val="center"/>
        </w:trPr>
        <w:tc>
          <w:tcPr>
            <w:tcW w:w="1805" w:type="dxa"/>
            <w:tcBorders>
              <w:top w:val="single" w:sz="4" w:space="0" w:color="auto"/>
              <w:left w:val="single" w:sz="4" w:space="0" w:color="auto"/>
              <w:right w:val="single" w:sz="4" w:space="0" w:color="auto"/>
            </w:tcBorders>
            <w:vAlign w:val="center"/>
          </w:tcPr>
          <w:p w14:paraId="37E1E5D2" w14:textId="77777777" w:rsidR="00E731E5" w:rsidRPr="00B654D8" w:rsidRDefault="00E731E5" w:rsidP="004C1B8F">
            <w:pPr>
              <w:jc w:val="center"/>
              <w:rPr>
                <w:rFonts w:ascii="Times New Roman" w:eastAsia="宋体" w:hAnsi="Times New Roman" w:cs="Times New Roman"/>
                <w:b/>
                <w:kern w:val="0"/>
                <w:sz w:val="24"/>
                <w:szCs w:val="24"/>
              </w:rPr>
            </w:pPr>
            <w:r w:rsidRPr="00B654D8">
              <w:rPr>
                <w:rFonts w:ascii="Times New Roman" w:eastAsia="宋体" w:hAnsi="Times New Roman" w:cs="Times New Roman"/>
                <w:b/>
                <w:kern w:val="0"/>
                <w:sz w:val="24"/>
                <w:szCs w:val="24"/>
              </w:rPr>
              <w:t>赎回费率</w:t>
            </w:r>
          </w:p>
        </w:tc>
        <w:tc>
          <w:tcPr>
            <w:tcW w:w="6717" w:type="dxa"/>
            <w:gridSpan w:val="3"/>
            <w:tcBorders>
              <w:top w:val="single" w:sz="4" w:space="0" w:color="auto"/>
              <w:left w:val="single" w:sz="4" w:space="0" w:color="auto"/>
              <w:right w:val="single" w:sz="4" w:space="0" w:color="auto"/>
            </w:tcBorders>
            <w:vAlign w:val="center"/>
            <w:hideMark/>
          </w:tcPr>
          <w:p w14:paraId="00463A04" w14:textId="6B708CCA" w:rsidR="00E731E5" w:rsidRPr="00B654D8" w:rsidRDefault="00E731E5"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0</w:t>
            </w:r>
            <w:r w:rsidRPr="00B654D8">
              <w:rPr>
                <w:rFonts w:ascii="Times New Roman" w:eastAsia="宋体" w:hAnsi="Times New Roman" w:cs="Times New Roman"/>
                <w:kern w:val="0"/>
                <w:sz w:val="24"/>
                <w:szCs w:val="24"/>
              </w:rPr>
              <w:t>（最短持有期限</w:t>
            </w:r>
            <w:r w:rsidRPr="00B654D8">
              <w:rPr>
                <w:rFonts w:ascii="Times New Roman" w:eastAsia="宋体" w:hAnsi="Times New Roman" w:cs="Times New Roman"/>
                <w:kern w:val="0"/>
                <w:sz w:val="24"/>
                <w:szCs w:val="24"/>
              </w:rPr>
              <w:t>1</w:t>
            </w:r>
            <w:r w:rsidRPr="00B654D8">
              <w:rPr>
                <w:rFonts w:ascii="Times New Roman" w:eastAsia="宋体" w:hAnsi="Times New Roman" w:cs="Times New Roman"/>
                <w:kern w:val="0"/>
                <w:sz w:val="24"/>
                <w:szCs w:val="24"/>
              </w:rPr>
              <w:t>年）</w:t>
            </w:r>
          </w:p>
        </w:tc>
      </w:tr>
      <w:tr w:rsidR="00E731E5" w:rsidRPr="00B654D8" w14:paraId="5D53D036" w14:textId="212C66F3" w:rsidTr="00165F6D">
        <w:trPr>
          <w:trHeight w:val="366"/>
          <w:jc w:val="center"/>
        </w:trPr>
        <w:tc>
          <w:tcPr>
            <w:tcW w:w="1805" w:type="dxa"/>
            <w:tcBorders>
              <w:top w:val="single" w:sz="4" w:space="0" w:color="auto"/>
              <w:left w:val="single" w:sz="4" w:space="0" w:color="auto"/>
              <w:bottom w:val="single" w:sz="4" w:space="0" w:color="auto"/>
              <w:right w:val="single" w:sz="4" w:space="0" w:color="auto"/>
            </w:tcBorders>
            <w:vAlign w:val="center"/>
            <w:hideMark/>
          </w:tcPr>
          <w:p w14:paraId="119F6708" w14:textId="77777777" w:rsidR="00E731E5" w:rsidRPr="00B654D8" w:rsidRDefault="00E731E5" w:rsidP="004C1B8F">
            <w:pPr>
              <w:jc w:val="center"/>
              <w:rPr>
                <w:rFonts w:ascii="Times New Roman" w:eastAsia="宋体" w:hAnsi="Times New Roman" w:cs="Times New Roman"/>
                <w:b/>
                <w:kern w:val="0"/>
                <w:sz w:val="24"/>
                <w:szCs w:val="24"/>
              </w:rPr>
            </w:pPr>
            <w:r w:rsidRPr="00B654D8">
              <w:rPr>
                <w:rFonts w:ascii="Times New Roman" w:eastAsia="宋体" w:hAnsi="Times New Roman" w:cs="Times New Roman"/>
                <w:b/>
                <w:kern w:val="0"/>
                <w:sz w:val="24"/>
                <w:szCs w:val="24"/>
              </w:rPr>
              <w:t>基金管理费率</w:t>
            </w:r>
          </w:p>
        </w:tc>
        <w:tc>
          <w:tcPr>
            <w:tcW w:w="6717" w:type="dxa"/>
            <w:gridSpan w:val="3"/>
            <w:tcBorders>
              <w:top w:val="single" w:sz="4" w:space="0" w:color="auto"/>
              <w:left w:val="single" w:sz="4" w:space="0" w:color="auto"/>
              <w:bottom w:val="single" w:sz="4" w:space="0" w:color="auto"/>
              <w:right w:val="single" w:sz="4" w:space="0" w:color="auto"/>
            </w:tcBorders>
            <w:vAlign w:val="center"/>
            <w:hideMark/>
          </w:tcPr>
          <w:p w14:paraId="3F76344C" w14:textId="47DDED10" w:rsidR="00E731E5" w:rsidRPr="00B654D8" w:rsidRDefault="00E731E5"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 xml:space="preserve"> </w:t>
            </w:r>
            <w:r w:rsidRPr="00B654D8">
              <w:rPr>
                <w:rFonts w:ascii="Times New Roman" w:eastAsia="宋体" w:hAnsi="Times New Roman" w:cs="Times New Roman"/>
                <w:kern w:val="0"/>
                <w:sz w:val="24"/>
                <w:szCs w:val="24"/>
              </w:rPr>
              <w:t>年费率</w:t>
            </w:r>
            <w:r w:rsidRPr="00B654D8">
              <w:rPr>
                <w:rFonts w:ascii="Times New Roman" w:eastAsia="宋体" w:hAnsi="Times New Roman" w:cs="Times New Roman"/>
                <w:kern w:val="0"/>
                <w:sz w:val="24"/>
                <w:szCs w:val="24"/>
              </w:rPr>
              <w:t>0.</w:t>
            </w:r>
            <w:r w:rsidR="00C12046">
              <w:rPr>
                <w:rFonts w:ascii="Times New Roman" w:eastAsia="宋体" w:hAnsi="Times New Roman" w:cs="Times New Roman" w:hint="eastAsia"/>
                <w:kern w:val="0"/>
                <w:sz w:val="24"/>
                <w:szCs w:val="24"/>
              </w:rPr>
              <w:t>6</w:t>
            </w:r>
            <w:r w:rsidRPr="00B654D8">
              <w:rPr>
                <w:rFonts w:ascii="Times New Roman" w:eastAsia="宋体" w:hAnsi="Times New Roman" w:cs="Times New Roman"/>
                <w:kern w:val="0"/>
                <w:sz w:val="24"/>
                <w:szCs w:val="24"/>
              </w:rPr>
              <w:t>0%</w:t>
            </w:r>
          </w:p>
        </w:tc>
      </w:tr>
      <w:tr w:rsidR="00E731E5" w:rsidRPr="00B654D8" w14:paraId="7A688F3E" w14:textId="34C11C6E" w:rsidTr="009E23F6">
        <w:trPr>
          <w:trHeight w:val="366"/>
          <w:jc w:val="center"/>
        </w:trPr>
        <w:tc>
          <w:tcPr>
            <w:tcW w:w="1805" w:type="dxa"/>
            <w:tcBorders>
              <w:top w:val="single" w:sz="4" w:space="0" w:color="auto"/>
              <w:left w:val="single" w:sz="4" w:space="0" w:color="auto"/>
              <w:bottom w:val="single" w:sz="4" w:space="0" w:color="auto"/>
              <w:right w:val="single" w:sz="4" w:space="0" w:color="auto"/>
            </w:tcBorders>
            <w:vAlign w:val="center"/>
            <w:hideMark/>
          </w:tcPr>
          <w:p w14:paraId="73679875" w14:textId="77777777" w:rsidR="00E731E5" w:rsidRPr="00B654D8" w:rsidRDefault="00E731E5" w:rsidP="004C1B8F">
            <w:pPr>
              <w:jc w:val="center"/>
              <w:rPr>
                <w:rFonts w:ascii="Times New Roman" w:eastAsia="宋体" w:hAnsi="Times New Roman" w:cs="Times New Roman"/>
                <w:b/>
                <w:kern w:val="0"/>
                <w:sz w:val="24"/>
                <w:szCs w:val="24"/>
              </w:rPr>
            </w:pPr>
            <w:r w:rsidRPr="00B654D8">
              <w:rPr>
                <w:rFonts w:ascii="Times New Roman" w:eastAsia="宋体" w:hAnsi="Times New Roman" w:cs="Times New Roman"/>
                <w:b/>
                <w:kern w:val="0"/>
                <w:sz w:val="24"/>
                <w:szCs w:val="24"/>
              </w:rPr>
              <w:t>基金托管费率</w:t>
            </w:r>
          </w:p>
        </w:tc>
        <w:tc>
          <w:tcPr>
            <w:tcW w:w="6717" w:type="dxa"/>
            <w:gridSpan w:val="3"/>
            <w:tcBorders>
              <w:top w:val="single" w:sz="4" w:space="0" w:color="auto"/>
              <w:left w:val="single" w:sz="4" w:space="0" w:color="auto"/>
              <w:bottom w:val="single" w:sz="4" w:space="0" w:color="auto"/>
              <w:right w:val="single" w:sz="4" w:space="0" w:color="auto"/>
            </w:tcBorders>
            <w:vAlign w:val="center"/>
            <w:hideMark/>
          </w:tcPr>
          <w:p w14:paraId="6F6C731D" w14:textId="27DC5F79" w:rsidR="00E731E5" w:rsidRPr="00B654D8" w:rsidRDefault="00E731E5" w:rsidP="004C1B8F">
            <w:pPr>
              <w:jc w:val="center"/>
              <w:rPr>
                <w:rFonts w:ascii="Times New Roman" w:eastAsia="宋体" w:hAnsi="Times New Roman" w:cs="Times New Roman"/>
                <w:kern w:val="0"/>
                <w:sz w:val="24"/>
                <w:szCs w:val="24"/>
              </w:rPr>
            </w:pPr>
            <w:r w:rsidRPr="00B654D8">
              <w:rPr>
                <w:rFonts w:ascii="Times New Roman" w:eastAsia="宋体" w:hAnsi="Times New Roman" w:cs="Times New Roman"/>
                <w:kern w:val="0"/>
                <w:sz w:val="24"/>
                <w:szCs w:val="24"/>
              </w:rPr>
              <w:t>年费率</w:t>
            </w:r>
            <w:r w:rsidRPr="00B654D8">
              <w:rPr>
                <w:rFonts w:ascii="Times New Roman" w:eastAsia="宋体" w:hAnsi="Times New Roman" w:cs="Times New Roman"/>
                <w:kern w:val="0"/>
                <w:sz w:val="24"/>
                <w:szCs w:val="24"/>
              </w:rPr>
              <w:t>0.</w:t>
            </w:r>
            <w:r w:rsidR="00C12046">
              <w:rPr>
                <w:rFonts w:ascii="Times New Roman" w:eastAsia="宋体" w:hAnsi="Times New Roman" w:cs="Times New Roman" w:hint="eastAsia"/>
                <w:kern w:val="0"/>
                <w:sz w:val="24"/>
                <w:szCs w:val="24"/>
              </w:rPr>
              <w:t>15</w:t>
            </w:r>
            <w:r w:rsidRPr="00B654D8">
              <w:rPr>
                <w:rFonts w:ascii="Times New Roman" w:eastAsia="宋体" w:hAnsi="Times New Roman" w:cs="Times New Roman"/>
                <w:kern w:val="0"/>
                <w:sz w:val="24"/>
                <w:szCs w:val="24"/>
              </w:rPr>
              <w:t>%</w:t>
            </w:r>
          </w:p>
        </w:tc>
      </w:tr>
    </w:tbl>
    <w:p w14:paraId="5C3BC4B0" w14:textId="4C476492" w:rsidR="00D31B28" w:rsidRDefault="001C6B0A" w:rsidP="00D31B28">
      <w:pPr>
        <w:spacing w:line="360" w:lineRule="auto"/>
        <w:ind w:firstLineChars="200" w:firstLine="480"/>
        <w:rPr>
          <w:rFonts w:ascii="Times New Roman" w:eastAsia="宋体" w:hAnsi="Times New Roman" w:cs="Times New Roman"/>
          <w:bCs/>
          <w:sz w:val="24"/>
        </w:rPr>
      </w:pPr>
      <w:r w:rsidRPr="001C6B0A">
        <w:rPr>
          <w:rFonts w:ascii="Times New Roman" w:eastAsia="宋体" w:hAnsi="Times New Roman" w:cs="Times New Roman" w:hint="eastAsia"/>
          <w:bCs/>
          <w:sz w:val="24"/>
        </w:rPr>
        <w:t>养老金客户指基本养老金与依法成立的养老计划筹集的资金及其投资运营收益形成的补充养老基金，包括全国社会保障基金、可以投资基金的地方社会保障基金、企业年金单一计划以及集合计划。如将来出现经养老基金监督部门认可的新的养老基金类型，基金管理人在履行相关程序后将其纳入养老金客户范围，并按规定向中国证监会备案。</w:t>
      </w:r>
    </w:p>
    <w:p w14:paraId="23CC9E62" w14:textId="3BC99B37" w:rsidR="00C47C8B" w:rsidRDefault="00C47C8B" w:rsidP="00C47C8B">
      <w:pPr>
        <w:spacing w:line="360" w:lineRule="auto"/>
        <w:ind w:firstLineChars="200" w:firstLine="480"/>
        <w:rPr>
          <w:bCs/>
          <w:color w:val="000000"/>
          <w:sz w:val="24"/>
        </w:rPr>
      </w:pPr>
      <w:r>
        <w:rPr>
          <w:rFonts w:hint="eastAsia"/>
          <w:bCs/>
          <w:color w:val="000000"/>
          <w:sz w:val="24"/>
        </w:rPr>
        <w:t>本基金设有1年的最短持有期限，基金份额持有人在满足最短持有期限的情况下方可赎回，不收取赎回费用。</w:t>
      </w:r>
      <w:r w:rsidR="002D3E17" w:rsidRPr="00E962E6">
        <w:rPr>
          <w:rFonts w:ascii="Times New Roman" w:hAnsi="Times New Roman" w:cs="Times New Roman"/>
          <w:kern w:val="0"/>
          <w:sz w:val="24"/>
        </w:rPr>
        <w:t>即投资人的每笔认购</w:t>
      </w:r>
      <w:r w:rsidR="002D3E17" w:rsidRPr="00E962E6">
        <w:rPr>
          <w:rFonts w:ascii="Times New Roman" w:hAnsi="Times New Roman" w:cs="Times New Roman"/>
          <w:kern w:val="0"/>
          <w:sz w:val="24"/>
        </w:rPr>
        <w:t>/</w:t>
      </w:r>
      <w:r w:rsidR="002D3E17" w:rsidRPr="00E962E6">
        <w:rPr>
          <w:rFonts w:ascii="Times New Roman" w:hAnsi="Times New Roman" w:cs="Times New Roman"/>
          <w:kern w:val="0"/>
          <w:sz w:val="24"/>
        </w:rPr>
        <w:t>申购申请确认的基金份额需在基金合同生效日（对认购份额而言）或该基金份额申购</w:t>
      </w:r>
      <w:r w:rsidR="002D3E17" w:rsidRPr="00E962E6">
        <w:rPr>
          <w:rFonts w:ascii="Times New Roman" w:hAnsi="Times New Roman" w:cs="Times New Roman" w:hint="eastAsia"/>
          <w:kern w:val="0"/>
          <w:sz w:val="24"/>
        </w:rPr>
        <w:t>申请</w:t>
      </w:r>
      <w:r w:rsidR="002D3E17" w:rsidRPr="00E962E6">
        <w:rPr>
          <w:rFonts w:ascii="Times New Roman" w:hAnsi="Times New Roman" w:cs="Times New Roman"/>
          <w:kern w:val="0"/>
          <w:sz w:val="24"/>
        </w:rPr>
        <w:t>日（对申购份额而言）</w:t>
      </w:r>
      <w:r w:rsidR="002D3E17" w:rsidRPr="00E962E6">
        <w:rPr>
          <w:rFonts w:ascii="Times New Roman" w:hAnsi="Times New Roman" w:cs="Times New Roman"/>
          <w:kern w:val="0"/>
          <w:sz w:val="24"/>
        </w:rPr>
        <w:t>1</w:t>
      </w:r>
      <w:r w:rsidR="002D3E17" w:rsidRPr="00E962E6">
        <w:rPr>
          <w:rFonts w:ascii="Times New Roman" w:hAnsi="Times New Roman" w:cs="Times New Roman"/>
          <w:kern w:val="0"/>
          <w:sz w:val="24"/>
        </w:rPr>
        <w:t>年后的对应日（如为非工作日或该公历年不存在该对应日，则顺延至下一工作日）</w:t>
      </w:r>
      <w:proofErr w:type="gramStart"/>
      <w:r w:rsidR="002D3E17" w:rsidRPr="00E962E6">
        <w:rPr>
          <w:rFonts w:ascii="Times New Roman" w:hAnsi="Times New Roman" w:cs="Times New Roman"/>
          <w:kern w:val="0"/>
          <w:sz w:val="24"/>
        </w:rPr>
        <w:t>起方可以</w:t>
      </w:r>
      <w:proofErr w:type="gramEnd"/>
      <w:r w:rsidR="002D3E17" w:rsidRPr="00E962E6">
        <w:rPr>
          <w:rFonts w:ascii="Times New Roman" w:hAnsi="Times New Roman" w:cs="Times New Roman"/>
          <w:kern w:val="0"/>
          <w:sz w:val="24"/>
        </w:rPr>
        <w:t>赎回。</w:t>
      </w:r>
    </w:p>
    <w:p w14:paraId="7AFB5D19" w14:textId="77777777" w:rsidR="00EE0DC0" w:rsidRDefault="00EE0DC0" w:rsidP="00CA7786">
      <w:pPr>
        <w:spacing w:line="360" w:lineRule="auto"/>
        <w:rPr>
          <w:rFonts w:ascii="Times New Roman" w:eastAsia="宋体" w:hAnsi="Times New Roman" w:cs="Times New Roman"/>
          <w:bCs/>
          <w:sz w:val="24"/>
        </w:rPr>
      </w:pPr>
    </w:p>
    <w:p w14:paraId="643F6E2D" w14:textId="2A4DE00A" w:rsidR="00EE0DC0" w:rsidRPr="00CA7786" w:rsidRDefault="00EE0DC0" w:rsidP="00CA7786">
      <w:pPr>
        <w:tabs>
          <w:tab w:val="num" w:pos="900"/>
        </w:tabs>
        <w:spacing w:line="360" w:lineRule="auto"/>
        <w:ind w:firstLineChars="200" w:firstLine="482"/>
        <w:rPr>
          <w:rStyle w:val="a5"/>
          <w:rFonts w:ascii="Times New Roman" w:eastAsia="宋体" w:hAnsi="Times New Roman" w:cs="Times New Roman"/>
          <w:b/>
          <w:kern w:val="0"/>
          <w:sz w:val="24"/>
        </w:rPr>
      </w:pPr>
      <w:r>
        <w:rPr>
          <w:rFonts w:ascii="Times New Roman" w:eastAsia="宋体" w:hAnsi="Times New Roman" w:cs="Times New Roman" w:hint="eastAsia"/>
          <w:b/>
          <w:kern w:val="0"/>
          <w:sz w:val="24"/>
        </w:rPr>
        <w:t>三</w:t>
      </w:r>
      <w:r w:rsidRPr="00460E50">
        <w:rPr>
          <w:rFonts w:ascii="Times New Roman" w:eastAsia="宋体" w:hAnsi="Times New Roman" w:cs="Times New Roman" w:hint="eastAsia"/>
          <w:b/>
          <w:kern w:val="0"/>
          <w:sz w:val="24"/>
        </w:rPr>
        <w:t>、</w:t>
      </w:r>
      <w:r>
        <w:rPr>
          <w:rFonts w:ascii="Times New Roman" w:eastAsia="宋体" w:hAnsi="Times New Roman" w:cs="Times New Roman" w:hint="eastAsia"/>
          <w:b/>
          <w:kern w:val="0"/>
          <w:sz w:val="24"/>
        </w:rPr>
        <w:t>本基金的风险揭示</w:t>
      </w:r>
    </w:p>
    <w:p w14:paraId="6FE26F20" w14:textId="7A507418" w:rsidR="000178F0" w:rsidRDefault="000178F0" w:rsidP="000944E3">
      <w:pPr>
        <w:spacing w:line="360" w:lineRule="auto"/>
        <w:ind w:firstLineChars="200" w:firstLine="480"/>
        <w:rPr>
          <w:rFonts w:ascii="Times New Roman" w:eastAsia="宋体" w:hAnsi="Times New Roman" w:cs="Times New Roman"/>
          <w:bCs/>
          <w:sz w:val="24"/>
        </w:rPr>
      </w:pPr>
      <w:r w:rsidRPr="00B654D8">
        <w:rPr>
          <w:rFonts w:ascii="Times New Roman" w:eastAsia="宋体" w:hAnsi="Times New Roman" w:cs="Times New Roman"/>
          <w:bCs/>
          <w:sz w:val="24"/>
        </w:rPr>
        <w:t>本基金投资于证券投资基金，基金净值会因为证券市场波动等因素产生波动，投资者根据所持有的基金份额享受基金收益，同时承担相应的投资风险。投资人在投资本基金前，需充分了解本基金的产品特性，并承担基金投资中出现的各类风险，包括：因整体政治、经济、社会等环境因素对证券价格产生影响而形成的</w:t>
      </w:r>
      <w:r w:rsidRPr="00B654D8">
        <w:rPr>
          <w:rFonts w:ascii="Times New Roman" w:eastAsia="宋体" w:hAnsi="Times New Roman" w:cs="Times New Roman"/>
          <w:bCs/>
          <w:sz w:val="24"/>
        </w:rPr>
        <w:lastRenderedPageBreak/>
        <w:t>系统性风险，个别证券特有的非系统性风险，由于基金投资人连续大量赎回基金产生的流动性风险，基金管理人在基金管理实施过程中产生的基金管理风险，本基金的特定风险等。</w:t>
      </w:r>
    </w:p>
    <w:p w14:paraId="5CCE0906" w14:textId="77777777" w:rsidR="000178F0" w:rsidRPr="00B654D8" w:rsidRDefault="000178F0" w:rsidP="000178F0">
      <w:pPr>
        <w:spacing w:line="360" w:lineRule="auto"/>
        <w:ind w:firstLineChars="200" w:firstLine="480"/>
        <w:rPr>
          <w:rFonts w:ascii="Times New Roman" w:eastAsia="宋体" w:hAnsi="Times New Roman" w:cs="Times New Roman"/>
          <w:bCs/>
          <w:sz w:val="24"/>
        </w:rPr>
      </w:pPr>
      <w:r w:rsidRPr="00B654D8">
        <w:rPr>
          <w:rFonts w:ascii="Times New Roman" w:eastAsia="宋体" w:hAnsi="Times New Roman" w:cs="Times New Roman"/>
          <w:bCs/>
          <w:sz w:val="24"/>
        </w:rPr>
        <w:t>本基金为混合型基金中基金，</w:t>
      </w:r>
      <w:r w:rsidRPr="009936E2">
        <w:rPr>
          <w:rFonts w:ascii="Times New Roman" w:eastAsia="宋体" w:hAnsi="Times New Roman" w:cs="Times New Roman" w:hint="eastAsia"/>
          <w:bCs/>
          <w:sz w:val="24"/>
        </w:rPr>
        <w:t>权益类资产（包括股票、股票型基金、混合型基金）的战略配置比例为</w:t>
      </w:r>
      <w:r w:rsidRPr="009936E2">
        <w:rPr>
          <w:rFonts w:ascii="Times New Roman" w:eastAsia="宋体" w:hAnsi="Times New Roman" w:cs="Times New Roman"/>
          <w:bCs/>
          <w:sz w:val="24"/>
        </w:rPr>
        <w:t>20%</w:t>
      </w:r>
      <w:r w:rsidRPr="009936E2">
        <w:rPr>
          <w:rFonts w:ascii="Times New Roman" w:eastAsia="宋体" w:hAnsi="Times New Roman" w:cs="Times New Roman"/>
          <w:bCs/>
          <w:sz w:val="24"/>
        </w:rPr>
        <w:t>，非权益类资产的战略配置比例</w:t>
      </w:r>
      <w:r w:rsidRPr="009936E2">
        <w:rPr>
          <w:rFonts w:ascii="Times New Roman" w:eastAsia="宋体" w:hAnsi="Times New Roman" w:cs="Times New Roman"/>
          <w:bCs/>
          <w:sz w:val="24"/>
        </w:rPr>
        <w:t>80%</w:t>
      </w:r>
      <w:r w:rsidRPr="009936E2">
        <w:rPr>
          <w:rFonts w:ascii="Times New Roman" w:eastAsia="宋体" w:hAnsi="Times New Roman" w:cs="Times New Roman"/>
          <w:bCs/>
          <w:sz w:val="24"/>
        </w:rPr>
        <w:t>。</w:t>
      </w:r>
      <w:r>
        <w:rPr>
          <w:rFonts w:ascii="Arial" w:hAnsi="Arial" w:cs="Arial"/>
          <w:bCs/>
          <w:sz w:val="24"/>
        </w:rPr>
        <w:t>权益类资产的战术调整</w:t>
      </w:r>
      <w:r>
        <w:rPr>
          <w:rFonts w:ascii="Arial" w:hAnsi="Arial" w:cs="Arial" w:hint="eastAsia"/>
          <w:bCs/>
          <w:sz w:val="24"/>
        </w:rPr>
        <w:t>，最低可以调整到</w:t>
      </w:r>
      <w:r>
        <w:rPr>
          <w:rFonts w:ascii="Arial" w:hAnsi="Arial" w:cs="Arial" w:hint="eastAsia"/>
          <w:bCs/>
          <w:sz w:val="24"/>
        </w:rPr>
        <w:t>10%</w:t>
      </w:r>
      <w:r>
        <w:rPr>
          <w:rFonts w:ascii="Arial" w:hAnsi="Arial" w:cs="Arial" w:hint="eastAsia"/>
          <w:bCs/>
          <w:sz w:val="24"/>
        </w:rPr>
        <w:t>，最高不超过</w:t>
      </w:r>
      <w:r>
        <w:rPr>
          <w:rFonts w:ascii="Arial" w:hAnsi="Arial" w:cs="Arial" w:hint="eastAsia"/>
          <w:bCs/>
          <w:sz w:val="24"/>
        </w:rPr>
        <w:t>25%</w:t>
      </w:r>
      <w:r w:rsidRPr="009936E2">
        <w:rPr>
          <w:rFonts w:ascii="Times New Roman" w:eastAsia="宋体" w:hAnsi="Times New Roman" w:cs="Times New Roman"/>
          <w:bCs/>
          <w:sz w:val="24"/>
        </w:rPr>
        <w:t>。</w:t>
      </w:r>
      <w:r w:rsidRPr="00B654D8">
        <w:rPr>
          <w:rFonts w:ascii="Times New Roman" w:eastAsia="宋体" w:hAnsi="Times New Roman" w:cs="Times New Roman"/>
          <w:bCs/>
          <w:sz w:val="24"/>
        </w:rPr>
        <w:t>其预期收益及预期风险水平低于股票型基金、股票型基金中基金，高于债券型基金、债券型基金中基金、货币市场基金及货币型基金中基金</w:t>
      </w:r>
      <w:r>
        <w:rPr>
          <w:rFonts w:ascii="Times New Roman" w:eastAsia="宋体" w:hAnsi="Times New Roman" w:cs="Times New Roman" w:hint="eastAsia"/>
          <w:bCs/>
          <w:sz w:val="24"/>
        </w:rPr>
        <w:t>，</w:t>
      </w:r>
      <w:r w:rsidRPr="00B654D8">
        <w:rPr>
          <w:rFonts w:ascii="Times New Roman" w:eastAsia="宋体" w:hAnsi="Times New Roman" w:cs="Times New Roman"/>
          <w:bCs/>
          <w:sz w:val="24"/>
        </w:rPr>
        <w:t>为目标风险系列</w:t>
      </w:r>
      <w:proofErr w:type="gramStart"/>
      <w:r w:rsidRPr="00B654D8">
        <w:rPr>
          <w:rFonts w:ascii="Times New Roman" w:eastAsia="宋体" w:hAnsi="Times New Roman" w:cs="Times New Roman"/>
          <w:bCs/>
          <w:sz w:val="24"/>
        </w:rPr>
        <w:t>基金中基金中</w:t>
      </w:r>
      <w:proofErr w:type="gramEnd"/>
      <w:r w:rsidRPr="00B654D8">
        <w:rPr>
          <w:rFonts w:ascii="Times New Roman" w:eastAsia="宋体" w:hAnsi="Times New Roman" w:cs="Times New Roman"/>
          <w:bCs/>
          <w:sz w:val="24"/>
        </w:rPr>
        <w:t>风险收益特征相对稳健的基金。投资者投资于本基金并不等于将基金作为存款存放在银行或存款类金融机构，本基金仍然存在损失投资本金的风险。</w:t>
      </w:r>
      <w:r w:rsidRPr="00B654D8">
        <w:rPr>
          <w:rFonts w:ascii="Times New Roman" w:eastAsia="宋体" w:hAnsi="Times New Roman" w:cs="Times New Roman"/>
          <w:bCs/>
          <w:sz w:val="24"/>
        </w:rPr>
        <w:tab/>
      </w:r>
    </w:p>
    <w:p w14:paraId="0950D503" w14:textId="7B82AE9B" w:rsidR="00282B69" w:rsidRPr="00CA7786" w:rsidRDefault="005B521D" w:rsidP="00CA7786">
      <w:pPr>
        <w:spacing w:line="360" w:lineRule="auto"/>
        <w:rPr>
          <w:rFonts w:ascii="Times New Roman" w:eastAsia="宋体" w:hAnsi="Times New Roman" w:cs="Times New Roman"/>
          <w:b/>
          <w:bCs/>
          <w:sz w:val="24"/>
        </w:rPr>
      </w:pPr>
      <w:r>
        <w:rPr>
          <w:rFonts w:ascii="Times New Roman" w:eastAsia="宋体" w:hAnsi="Times New Roman" w:cs="Times New Roman" w:hint="eastAsia"/>
          <w:bCs/>
          <w:sz w:val="24"/>
        </w:rPr>
        <w:t xml:space="preserve">    </w:t>
      </w:r>
      <w:r w:rsidR="00282B69" w:rsidRPr="00CA7786">
        <w:rPr>
          <w:rFonts w:ascii="Times New Roman" w:eastAsia="宋体" w:hAnsi="Times New Roman" w:cs="Times New Roman" w:hint="eastAsia"/>
          <w:b/>
          <w:bCs/>
          <w:sz w:val="24"/>
        </w:rPr>
        <w:t>投资有风险，投资人在进行投资决策前，请仔细阅读本基金的招募说明书及基金合同等信息披露文件，了解基金的风险收益特征，并根据自身的投资目的、投资期限、投资经验、资产状况</w:t>
      </w:r>
      <w:proofErr w:type="gramStart"/>
      <w:r w:rsidR="00282B69" w:rsidRPr="00CA7786">
        <w:rPr>
          <w:rFonts w:ascii="Times New Roman" w:eastAsia="宋体" w:hAnsi="Times New Roman" w:cs="Times New Roman" w:hint="eastAsia"/>
          <w:b/>
          <w:bCs/>
          <w:sz w:val="24"/>
        </w:rPr>
        <w:t>等判断本</w:t>
      </w:r>
      <w:proofErr w:type="gramEnd"/>
      <w:r w:rsidR="00282B69" w:rsidRPr="00CA7786">
        <w:rPr>
          <w:rFonts w:ascii="Times New Roman" w:eastAsia="宋体" w:hAnsi="Times New Roman" w:cs="Times New Roman" w:hint="eastAsia"/>
          <w:b/>
          <w:bCs/>
          <w:sz w:val="24"/>
        </w:rPr>
        <w:t>基金是否和自身的风险承受能力相适应，</w:t>
      </w:r>
      <w:r w:rsidR="00282B69" w:rsidRPr="00CA7786">
        <w:rPr>
          <w:rFonts w:ascii="Times New Roman" w:eastAsia="宋体" w:hAnsi="Times New Roman" w:cs="Times New Roman" w:hint="eastAsia"/>
          <w:b/>
          <w:sz w:val="24"/>
        </w:rPr>
        <w:t>自主判断基金的投资价值，自主做出投资决策，</w:t>
      </w:r>
      <w:r w:rsidR="00282B69" w:rsidRPr="00CA7786">
        <w:rPr>
          <w:rFonts w:ascii="Times New Roman" w:eastAsia="宋体" w:hAnsi="Times New Roman" w:cs="Times New Roman" w:hint="eastAsia"/>
          <w:b/>
          <w:bCs/>
          <w:sz w:val="24"/>
        </w:rPr>
        <w:t>并自行承担投资风险。</w:t>
      </w:r>
    </w:p>
    <w:p w14:paraId="7263FE32" w14:textId="77777777" w:rsidR="00242C37" w:rsidRPr="00B654D8" w:rsidRDefault="00242C37" w:rsidP="00CA7786">
      <w:pPr>
        <w:rPr>
          <w:rFonts w:ascii="Times New Roman" w:hAnsi="Times New Roman" w:cs="Times New Roman"/>
        </w:rPr>
      </w:pPr>
    </w:p>
    <w:sectPr w:rsidR="00242C37" w:rsidRPr="00B654D8" w:rsidSect="00790CF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1785C" w14:textId="77777777" w:rsidR="001726F0" w:rsidRDefault="001726F0" w:rsidP="00324AC3">
      <w:r>
        <w:separator/>
      </w:r>
    </w:p>
  </w:endnote>
  <w:endnote w:type="continuationSeparator" w:id="0">
    <w:p w14:paraId="1985A649" w14:textId="77777777" w:rsidR="001726F0" w:rsidRDefault="001726F0" w:rsidP="0032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830707"/>
      <w:docPartObj>
        <w:docPartGallery w:val="Page Numbers (Bottom of Page)"/>
        <w:docPartUnique/>
      </w:docPartObj>
    </w:sdtPr>
    <w:sdtEndPr/>
    <w:sdtContent>
      <w:p w14:paraId="53220D5E" w14:textId="0FCDA375" w:rsidR="00790CFE" w:rsidRDefault="00790CFE">
        <w:pPr>
          <w:pStyle w:val="a4"/>
          <w:jc w:val="center"/>
        </w:pPr>
        <w:r>
          <w:fldChar w:fldCharType="begin"/>
        </w:r>
        <w:r>
          <w:instrText>PAGE   \* MERGEFORMAT</w:instrText>
        </w:r>
        <w:r>
          <w:fldChar w:fldCharType="separate"/>
        </w:r>
        <w:r w:rsidR="00415761" w:rsidRPr="00415761">
          <w:rPr>
            <w:noProof/>
            <w:lang w:val="zh-CN"/>
          </w:rPr>
          <w:t>2</w:t>
        </w:r>
        <w:r>
          <w:fldChar w:fldCharType="end"/>
        </w:r>
      </w:p>
    </w:sdtContent>
  </w:sdt>
  <w:p w14:paraId="2E6C1751" w14:textId="77777777" w:rsidR="00790CFE" w:rsidRDefault="00790C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BFC39" w14:textId="77777777" w:rsidR="001726F0" w:rsidRDefault="001726F0" w:rsidP="00324AC3">
      <w:r>
        <w:separator/>
      </w:r>
    </w:p>
  </w:footnote>
  <w:footnote w:type="continuationSeparator" w:id="0">
    <w:p w14:paraId="1741335E" w14:textId="77777777" w:rsidR="001726F0" w:rsidRDefault="001726F0" w:rsidP="00324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86290"/>
    <w:multiLevelType w:val="hybridMultilevel"/>
    <w:tmpl w:val="CFE28E5C"/>
    <w:lvl w:ilvl="0" w:tplc="04B2900A">
      <w:start w:val="1"/>
      <w:numFmt w:val="decimal"/>
      <w:lvlText w:val="%1."/>
      <w:lvlJc w:val="left"/>
      <w:pPr>
        <w:tabs>
          <w:tab w:val="num" w:pos="988"/>
        </w:tabs>
        <w:ind w:left="988" w:hanging="420"/>
      </w:pPr>
      <w:rPr>
        <w:color w:val="000000"/>
      </w:rPr>
    </w:lvl>
    <w:lvl w:ilvl="1" w:tplc="04090019" w:tentative="1">
      <w:start w:val="1"/>
      <w:numFmt w:val="lowerLetter"/>
      <w:lvlText w:val="%2)"/>
      <w:lvlJc w:val="left"/>
      <w:pPr>
        <w:tabs>
          <w:tab w:val="num" w:pos="1528"/>
        </w:tabs>
        <w:ind w:left="1528" w:hanging="420"/>
      </w:pPr>
    </w:lvl>
    <w:lvl w:ilvl="2" w:tplc="0409001B" w:tentative="1">
      <w:start w:val="1"/>
      <w:numFmt w:val="lowerRoman"/>
      <w:lvlText w:val="%3."/>
      <w:lvlJc w:val="righ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9" w:tentative="1">
      <w:start w:val="1"/>
      <w:numFmt w:val="lowerLetter"/>
      <w:lvlText w:val="%5)"/>
      <w:lvlJc w:val="left"/>
      <w:pPr>
        <w:tabs>
          <w:tab w:val="num" w:pos="2788"/>
        </w:tabs>
        <w:ind w:left="2788" w:hanging="420"/>
      </w:pPr>
    </w:lvl>
    <w:lvl w:ilvl="5" w:tplc="0409001B" w:tentative="1">
      <w:start w:val="1"/>
      <w:numFmt w:val="lowerRoman"/>
      <w:lvlText w:val="%6."/>
      <w:lvlJc w:val="righ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9" w:tentative="1">
      <w:start w:val="1"/>
      <w:numFmt w:val="lowerLetter"/>
      <w:lvlText w:val="%8)"/>
      <w:lvlJc w:val="left"/>
      <w:pPr>
        <w:tabs>
          <w:tab w:val="num" w:pos="4048"/>
        </w:tabs>
        <w:ind w:left="4048" w:hanging="420"/>
      </w:pPr>
    </w:lvl>
    <w:lvl w:ilvl="8" w:tplc="0409001B" w:tentative="1">
      <w:start w:val="1"/>
      <w:numFmt w:val="lowerRoman"/>
      <w:lvlText w:val="%9."/>
      <w:lvlJc w:val="right"/>
      <w:pPr>
        <w:tabs>
          <w:tab w:val="num" w:pos="4468"/>
        </w:tabs>
        <w:ind w:left="446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038"/>
    <w:rsid w:val="00015F84"/>
    <w:rsid w:val="000178F0"/>
    <w:rsid w:val="00057ACB"/>
    <w:rsid w:val="000616CD"/>
    <w:rsid w:val="0007042E"/>
    <w:rsid w:val="000944E3"/>
    <w:rsid w:val="000B5B9C"/>
    <w:rsid w:val="00123B41"/>
    <w:rsid w:val="00165A4B"/>
    <w:rsid w:val="00167ECB"/>
    <w:rsid w:val="001726F0"/>
    <w:rsid w:val="001C6B0A"/>
    <w:rsid w:val="001D1C26"/>
    <w:rsid w:val="001D7495"/>
    <w:rsid w:val="00207633"/>
    <w:rsid w:val="0022157C"/>
    <w:rsid w:val="00232027"/>
    <w:rsid w:val="00242C37"/>
    <w:rsid w:val="0025648A"/>
    <w:rsid w:val="002821BB"/>
    <w:rsid w:val="00282B69"/>
    <w:rsid w:val="002D3E17"/>
    <w:rsid w:val="00324AC3"/>
    <w:rsid w:val="0039266D"/>
    <w:rsid w:val="0039477B"/>
    <w:rsid w:val="003A1679"/>
    <w:rsid w:val="003B2CFC"/>
    <w:rsid w:val="003C69B8"/>
    <w:rsid w:val="00415761"/>
    <w:rsid w:val="004930C3"/>
    <w:rsid w:val="004C3279"/>
    <w:rsid w:val="004F12EB"/>
    <w:rsid w:val="005139D4"/>
    <w:rsid w:val="00551493"/>
    <w:rsid w:val="00557099"/>
    <w:rsid w:val="005B521D"/>
    <w:rsid w:val="005C0D0A"/>
    <w:rsid w:val="005F06B4"/>
    <w:rsid w:val="0063663A"/>
    <w:rsid w:val="006369AD"/>
    <w:rsid w:val="006A58E7"/>
    <w:rsid w:val="007120D2"/>
    <w:rsid w:val="007277A0"/>
    <w:rsid w:val="00761F27"/>
    <w:rsid w:val="00786C75"/>
    <w:rsid w:val="00790CFE"/>
    <w:rsid w:val="007D6360"/>
    <w:rsid w:val="00826424"/>
    <w:rsid w:val="00880687"/>
    <w:rsid w:val="008B15A2"/>
    <w:rsid w:val="008C7DC4"/>
    <w:rsid w:val="0092728F"/>
    <w:rsid w:val="009630FD"/>
    <w:rsid w:val="009800BE"/>
    <w:rsid w:val="00985038"/>
    <w:rsid w:val="009936E2"/>
    <w:rsid w:val="009A664B"/>
    <w:rsid w:val="009D3B9A"/>
    <w:rsid w:val="009F6BA8"/>
    <w:rsid w:val="00A630CD"/>
    <w:rsid w:val="00AF387D"/>
    <w:rsid w:val="00B33A6F"/>
    <w:rsid w:val="00B36D27"/>
    <w:rsid w:val="00B654D8"/>
    <w:rsid w:val="00B87B0F"/>
    <w:rsid w:val="00BD2C1E"/>
    <w:rsid w:val="00BD31E0"/>
    <w:rsid w:val="00BD5F85"/>
    <w:rsid w:val="00C12046"/>
    <w:rsid w:val="00C3203B"/>
    <w:rsid w:val="00C46017"/>
    <w:rsid w:val="00C47C8B"/>
    <w:rsid w:val="00C57F89"/>
    <w:rsid w:val="00C72485"/>
    <w:rsid w:val="00C7431C"/>
    <w:rsid w:val="00CA68F3"/>
    <w:rsid w:val="00CA7786"/>
    <w:rsid w:val="00D31B28"/>
    <w:rsid w:val="00D64653"/>
    <w:rsid w:val="00D95DED"/>
    <w:rsid w:val="00E3039F"/>
    <w:rsid w:val="00E32E4C"/>
    <w:rsid w:val="00E731E5"/>
    <w:rsid w:val="00E96CE6"/>
    <w:rsid w:val="00ED46CC"/>
    <w:rsid w:val="00EE0DC0"/>
    <w:rsid w:val="00EE5BD6"/>
    <w:rsid w:val="00F0452C"/>
    <w:rsid w:val="00FD6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F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4A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4AC3"/>
    <w:rPr>
      <w:sz w:val="18"/>
      <w:szCs w:val="18"/>
    </w:rPr>
  </w:style>
  <w:style w:type="paragraph" w:styleId="a4">
    <w:name w:val="footer"/>
    <w:basedOn w:val="a"/>
    <w:link w:val="Char0"/>
    <w:uiPriority w:val="99"/>
    <w:unhideWhenUsed/>
    <w:rsid w:val="00324AC3"/>
    <w:pPr>
      <w:tabs>
        <w:tab w:val="center" w:pos="4153"/>
        <w:tab w:val="right" w:pos="8306"/>
      </w:tabs>
      <w:snapToGrid w:val="0"/>
      <w:jc w:val="left"/>
    </w:pPr>
    <w:rPr>
      <w:sz w:val="18"/>
      <w:szCs w:val="18"/>
    </w:rPr>
  </w:style>
  <w:style w:type="character" w:customStyle="1" w:styleId="Char0">
    <w:name w:val="页脚 Char"/>
    <w:basedOn w:val="a0"/>
    <w:link w:val="a4"/>
    <w:uiPriority w:val="99"/>
    <w:rsid w:val="00324AC3"/>
    <w:rPr>
      <w:sz w:val="18"/>
      <w:szCs w:val="18"/>
    </w:rPr>
  </w:style>
  <w:style w:type="character" w:styleId="a5">
    <w:name w:val="annotation reference"/>
    <w:rsid w:val="00324AC3"/>
    <w:rPr>
      <w:sz w:val="21"/>
    </w:rPr>
  </w:style>
  <w:style w:type="character" w:customStyle="1" w:styleId="Char1">
    <w:name w:val="批注文字 Char"/>
    <w:link w:val="a6"/>
    <w:rsid w:val="00324AC3"/>
  </w:style>
  <w:style w:type="paragraph" w:styleId="a6">
    <w:name w:val="annotation text"/>
    <w:basedOn w:val="a"/>
    <w:link w:val="Char1"/>
    <w:rsid w:val="00324AC3"/>
    <w:pPr>
      <w:jc w:val="left"/>
    </w:pPr>
  </w:style>
  <w:style w:type="character" w:customStyle="1" w:styleId="Char10">
    <w:name w:val="批注文字 Char1"/>
    <w:basedOn w:val="a0"/>
    <w:uiPriority w:val="99"/>
    <w:semiHidden/>
    <w:rsid w:val="00324AC3"/>
  </w:style>
  <w:style w:type="paragraph" w:styleId="a7">
    <w:name w:val="Balloon Text"/>
    <w:basedOn w:val="a"/>
    <w:link w:val="Char2"/>
    <w:uiPriority w:val="99"/>
    <w:semiHidden/>
    <w:unhideWhenUsed/>
    <w:rsid w:val="00324AC3"/>
    <w:rPr>
      <w:sz w:val="18"/>
      <w:szCs w:val="18"/>
    </w:rPr>
  </w:style>
  <w:style w:type="character" w:customStyle="1" w:styleId="Char2">
    <w:name w:val="批注框文本 Char"/>
    <w:basedOn w:val="a0"/>
    <w:link w:val="a7"/>
    <w:uiPriority w:val="99"/>
    <w:semiHidden/>
    <w:rsid w:val="00324AC3"/>
    <w:rPr>
      <w:sz w:val="18"/>
      <w:szCs w:val="18"/>
    </w:rPr>
  </w:style>
  <w:style w:type="paragraph" w:styleId="2">
    <w:name w:val="Body Text Indent 2"/>
    <w:basedOn w:val="a"/>
    <w:link w:val="2Char"/>
    <w:rsid w:val="000B5B9C"/>
    <w:pPr>
      <w:autoSpaceDE w:val="0"/>
      <w:autoSpaceDN w:val="0"/>
      <w:adjustRightInd w:val="0"/>
      <w:spacing w:after="120"/>
      <w:ind w:firstLine="567"/>
    </w:pPr>
    <w:rPr>
      <w:rFonts w:ascii="宋体" w:eastAsia="宋体" w:hAnsi="宋体" w:cs="Times New Roman"/>
      <w:color w:val="000000"/>
      <w:kern w:val="0"/>
      <w:sz w:val="28"/>
      <w:szCs w:val="20"/>
    </w:rPr>
  </w:style>
  <w:style w:type="character" w:customStyle="1" w:styleId="2Char">
    <w:name w:val="正文文本缩进 2 Char"/>
    <w:basedOn w:val="a0"/>
    <w:link w:val="2"/>
    <w:rsid w:val="000B5B9C"/>
    <w:rPr>
      <w:rFonts w:ascii="宋体" w:eastAsia="宋体" w:hAnsi="宋体" w:cs="Times New Roman"/>
      <w:color w:val="000000"/>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4A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4AC3"/>
    <w:rPr>
      <w:sz w:val="18"/>
      <w:szCs w:val="18"/>
    </w:rPr>
  </w:style>
  <w:style w:type="paragraph" w:styleId="a4">
    <w:name w:val="footer"/>
    <w:basedOn w:val="a"/>
    <w:link w:val="Char0"/>
    <w:uiPriority w:val="99"/>
    <w:unhideWhenUsed/>
    <w:rsid w:val="00324AC3"/>
    <w:pPr>
      <w:tabs>
        <w:tab w:val="center" w:pos="4153"/>
        <w:tab w:val="right" w:pos="8306"/>
      </w:tabs>
      <w:snapToGrid w:val="0"/>
      <w:jc w:val="left"/>
    </w:pPr>
    <w:rPr>
      <w:sz w:val="18"/>
      <w:szCs w:val="18"/>
    </w:rPr>
  </w:style>
  <w:style w:type="character" w:customStyle="1" w:styleId="Char0">
    <w:name w:val="页脚 Char"/>
    <w:basedOn w:val="a0"/>
    <w:link w:val="a4"/>
    <w:uiPriority w:val="99"/>
    <w:rsid w:val="00324AC3"/>
    <w:rPr>
      <w:sz w:val="18"/>
      <w:szCs w:val="18"/>
    </w:rPr>
  </w:style>
  <w:style w:type="character" w:styleId="a5">
    <w:name w:val="annotation reference"/>
    <w:rsid w:val="00324AC3"/>
    <w:rPr>
      <w:sz w:val="21"/>
    </w:rPr>
  </w:style>
  <w:style w:type="character" w:customStyle="1" w:styleId="Char1">
    <w:name w:val="批注文字 Char"/>
    <w:link w:val="a6"/>
    <w:rsid w:val="00324AC3"/>
  </w:style>
  <w:style w:type="paragraph" w:styleId="a6">
    <w:name w:val="annotation text"/>
    <w:basedOn w:val="a"/>
    <w:link w:val="Char1"/>
    <w:rsid w:val="00324AC3"/>
    <w:pPr>
      <w:jc w:val="left"/>
    </w:pPr>
  </w:style>
  <w:style w:type="character" w:customStyle="1" w:styleId="Char10">
    <w:name w:val="批注文字 Char1"/>
    <w:basedOn w:val="a0"/>
    <w:uiPriority w:val="99"/>
    <w:semiHidden/>
    <w:rsid w:val="00324AC3"/>
  </w:style>
  <w:style w:type="paragraph" w:styleId="a7">
    <w:name w:val="Balloon Text"/>
    <w:basedOn w:val="a"/>
    <w:link w:val="Char2"/>
    <w:uiPriority w:val="99"/>
    <w:semiHidden/>
    <w:unhideWhenUsed/>
    <w:rsid w:val="00324AC3"/>
    <w:rPr>
      <w:sz w:val="18"/>
      <w:szCs w:val="18"/>
    </w:rPr>
  </w:style>
  <w:style w:type="character" w:customStyle="1" w:styleId="Char2">
    <w:name w:val="批注框文本 Char"/>
    <w:basedOn w:val="a0"/>
    <w:link w:val="a7"/>
    <w:uiPriority w:val="99"/>
    <w:semiHidden/>
    <w:rsid w:val="00324AC3"/>
    <w:rPr>
      <w:sz w:val="18"/>
      <w:szCs w:val="18"/>
    </w:rPr>
  </w:style>
  <w:style w:type="paragraph" w:styleId="2">
    <w:name w:val="Body Text Indent 2"/>
    <w:basedOn w:val="a"/>
    <w:link w:val="2Char"/>
    <w:rsid w:val="000B5B9C"/>
    <w:pPr>
      <w:autoSpaceDE w:val="0"/>
      <w:autoSpaceDN w:val="0"/>
      <w:adjustRightInd w:val="0"/>
      <w:spacing w:after="120"/>
      <w:ind w:firstLine="567"/>
    </w:pPr>
    <w:rPr>
      <w:rFonts w:ascii="宋体" w:eastAsia="宋体" w:hAnsi="宋体" w:cs="Times New Roman"/>
      <w:color w:val="000000"/>
      <w:kern w:val="0"/>
      <w:sz w:val="28"/>
      <w:szCs w:val="20"/>
    </w:rPr>
  </w:style>
  <w:style w:type="character" w:customStyle="1" w:styleId="2Char">
    <w:name w:val="正文文本缩进 2 Char"/>
    <w:basedOn w:val="a0"/>
    <w:link w:val="2"/>
    <w:rsid w:val="000B5B9C"/>
    <w:rPr>
      <w:rFonts w:ascii="宋体" w:eastAsia="宋体" w:hAnsi="宋体" w:cs="Times New Roman"/>
      <w:color w:val="000000"/>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Yixin Wang</dc:creator>
  <cp:lastModifiedBy>王艺欣</cp:lastModifiedBy>
  <cp:revision>124</cp:revision>
  <cp:lastPrinted>2018-07-18T11:26:00Z</cp:lastPrinted>
  <dcterms:created xsi:type="dcterms:W3CDTF">2018-04-10T06:37:00Z</dcterms:created>
  <dcterms:modified xsi:type="dcterms:W3CDTF">2018-12-24T10:43:00Z</dcterms:modified>
</cp:coreProperties>
</file>