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CCE" w:rsidRDefault="009E1EFF">
      <w:pPr>
        <w:autoSpaceDE w:val="0"/>
        <w:autoSpaceDN w:val="0"/>
        <w:adjustRightInd w:val="0"/>
        <w:jc w:val="center"/>
        <w:rPr>
          <w:rFonts w:asciiTheme="minorEastAsia" w:eastAsiaTheme="minorEastAsia" w:hAnsiTheme="minorEastAsia" w:cs="宋体"/>
          <w:b/>
          <w:color w:val="000000"/>
          <w:kern w:val="0"/>
          <w:sz w:val="30"/>
          <w:szCs w:val="30"/>
        </w:rPr>
      </w:pPr>
      <w:r>
        <w:rPr>
          <w:rFonts w:asciiTheme="minorEastAsia" w:hAnsiTheme="minorEastAsia" w:hint="eastAsia"/>
          <w:b/>
          <w:sz w:val="30"/>
          <w:szCs w:val="30"/>
        </w:rPr>
        <w:t>关于</w:t>
      </w:r>
      <w:r w:rsidR="00777894" w:rsidRPr="00777894">
        <w:rPr>
          <w:rFonts w:asciiTheme="minorEastAsia" w:hAnsiTheme="minorEastAsia" w:hint="eastAsia"/>
          <w:b/>
          <w:sz w:val="30"/>
          <w:szCs w:val="30"/>
        </w:rPr>
        <w:t>银</w:t>
      </w:r>
      <w:proofErr w:type="gramStart"/>
      <w:r w:rsidR="00777894" w:rsidRPr="00777894">
        <w:rPr>
          <w:rFonts w:asciiTheme="minorEastAsia" w:hAnsiTheme="minorEastAsia" w:hint="eastAsia"/>
          <w:b/>
          <w:sz w:val="30"/>
          <w:szCs w:val="30"/>
        </w:rPr>
        <w:t>华行业轮</w:t>
      </w:r>
      <w:proofErr w:type="gramEnd"/>
      <w:r w:rsidR="00777894" w:rsidRPr="00777894">
        <w:rPr>
          <w:rFonts w:asciiTheme="minorEastAsia" w:hAnsiTheme="minorEastAsia" w:hint="eastAsia"/>
          <w:b/>
          <w:sz w:val="30"/>
          <w:szCs w:val="30"/>
        </w:rPr>
        <w:t>动混合型证券投资基金</w:t>
      </w:r>
      <w:r>
        <w:rPr>
          <w:rFonts w:asciiTheme="minorEastAsia" w:hAnsiTheme="minorEastAsia" w:hint="eastAsia"/>
          <w:b/>
          <w:sz w:val="30"/>
          <w:szCs w:val="30"/>
        </w:rPr>
        <w:t>网上直销认购费率优惠活动的公告</w:t>
      </w:r>
    </w:p>
    <w:p w:rsidR="00132CCE" w:rsidRDefault="00132CCE">
      <w:pPr>
        <w:autoSpaceDE w:val="0"/>
        <w:autoSpaceDN w:val="0"/>
        <w:adjustRightInd w:val="0"/>
        <w:spacing w:line="360" w:lineRule="auto"/>
        <w:ind w:firstLine="480"/>
        <w:jc w:val="left"/>
        <w:rPr>
          <w:color w:val="000000"/>
          <w:szCs w:val="21"/>
        </w:rPr>
      </w:pPr>
    </w:p>
    <w:p w:rsidR="00132CCE" w:rsidRDefault="009E1EFF">
      <w:pPr>
        <w:spacing w:line="360" w:lineRule="auto"/>
        <w:jc w:val="left"/>
        <w:rPr>
          <w:rFonts w:asciiTheme="minorEastAsia" w:hAnsiTheme="minorEastAsia"/>
          <w:szCs w:val="21"/>
        </w:rPr>
      </w:pPr>
      <w:r>
        <w:rPr>
          <w:rFonts w:asciiTheme="minorEastAsia" w:hAnsiTheme="minorEastAsia" w:hint="eastAsia"/>
          <w:szCs w:val="21"/>
        </w:rPr>
        <w:t>为更好地满足广大投资者的理财需求，银华基金管理股份有限公司（以下简称"本公司"）决定</w:t>
      </w:r>
      <w:r>
        <w:t>在发行期间</w:t>
      </w:r>
      <w:r>
        <w:rPr>
          <w:rFonts w:asciiTheme="minorEastAsia" w:hAnsiTheme="minorEastAsia" w:hint="eastAsia"/>
          <w:szCs w:val="21"/>
        </w:rPr>
        <w:t>对投资者通过本公司网上直销系统认购</w:t>
      </w:r>
      <w:r w:rsidR="00777894" w:rsidRPr="00777894">
        <w:rPr>
          <w:rFonts w:ascii="宋体" w:hAnsi="宋体" w:hint="eastAsia"/>
        </w:rPr>
        <w:t>银</w:t>
      </w:r>
      <w:proofErr w:type="gramStart"/>
      <w:r w:rsidR="00777894" w:rsidRPr="00777894">
        <w:rPr>
          <w:rFonts w:ascii="宋体" w:hAnsi="宋体" w:hint="eastAsia"/>
        </w:rPr>
        <w:t>华行业轮</w:t>
      </w:r>
      <w:proofErr w:type="gramEnd"/>
      <w:r w:rsidR="00777894" w:rsidRPr="00777894">
        <w:rPr>
          <w:rFonts w:ascii="宋体" w:hAnsi="宋体" w:hint="eastAsia"/>
        </w:rPr>
        <w:t>动混合型证券投资基金</w:t>
      </w:r>
      <w:r>
        <w:rPr>
          <w:rFonts w:asciiTheme="minorEastAsia" w:hAnsiTheme="minorEastAsia" w:hint="eastAsia"/>
          <w:szCs w:val="21"/>
        </w:rPr>
        <w:t>（基金代码：</w:t>
      </w:r>
      <w:r w:rsidR="00777894" w:rsidRPr="00777894">
        <w:rPr>
          <w:rFonts w:asciiTheme="minorEastAsia" w:hAnsiTheme="minorEastAsia"/>
          <w:szCs w:val="21"/>
        </w:rPr>
        <w:t>006302</w:t>
      </w:r>
      <w:r>
        <w:rPr>
          <w:rFonts w:asciiTheme="minorEastAsia" w:hAnsiTheme="minorEastAsia" w:hint="eastAsia"/>
          <w:szCs w:val="21"/>
        </w:rPr>
        <w:t>，以下简称“本基金”）所适用的费率开展优惠活动。详情如下：</w:t>
      </w:r>
    </w:p>
    <w:p w:rsidR="00132CCE" w:rsidRDefault="009E1EFF">
      <w:pPr>
        <w:spacing w:line="360" w:lineRule="auto"/>
        <w:ind w:firstLineChars="200" w:firstLine="420"/>
        <w:jc w:val="left"/>
        <w:rPr>
          <w:rFonts w:asciiTheme="minorEastAsia" w:hAnsiTheme="minorEastAsia"/>
          <w:szCs w:val="21"/>
        </w:rPr>
      </w:pPr>
      <w:r>
        <w:rPr>
          <w:rFonts w:asciiTheme="minorEastAsia" w:hAnsiTheme="minorEastAsia" w:hint="eastAsia"/>
          <w:szCs w:val="21"/>
        </w:rPr>
        <w:t>一、适用投资者范围</w:t>
      </w:r>
    </w:p>
    <w:p w:rsidR="00132CCE" w:rsidRDefault="009E1EFF">
      <w:pPr>
        <w:spacing w:line="360" w:lineRule="auto"/>
        <w:ind w:firstLineChars="200" w:firstLine="420"/>
        <w:jc w:val="left"/>
        <w:rPr>
          <w:rFonts w:asciiTheme="minorEastAsia" w:hAnsiTheme="minorEastAsia"/>
          <w:szCs w:val="21"/>
        </w:rPr>
      </w:pPr>
      <w:r>
        <w:rPr>
          <w:rFonts w:asciiTheme="minorEastAsia" w:hAnsiTheme="minorEastAsia" w:hint="eastAsia"/>
          <w:szCs w:val="21"/>
        </w:rPr>
        <w:t>符合法律法规及基金合同规定并通过本公司网上直销系统和银华生利宝APP办理本基金认购业务的个人投资者。</w:t>
      </w:r>
    </w:p>
    <w:p w:rsidR="00132CCE" w:rsidRDefault="009E1EFF">
      <w:pPr>
        <w:spacing w:line="360" w:lineRule="auto"/>
        <w:ind w:firstLineChars="200" w:firstLine="420"/>
        <w:jc w:val="left"/>
        <w:rPr>
          <w:rFonts w:asciiTheme="minorEastAsia" w:hAnsiTheme="minorEastAsia"/>
          <w:szCs w:val="21"/>
        </w:rPr>
      </w:pPr>
      <w:r>
        <w:rPr>
          <w:rFonts w:asciiTheme="minorEastAsia" w:hAnsiTheme="minorEastAsia" w:hint="eastAsia"/>
          <w:szCs w:val="21"/>
        </w:rPr>
        <w:t>二、优惠活动期间</w:t>
      </w:r>
    </w:p>
    <w:p w:rsidR="00132CCE" w:rsidRDefault="009E1EFF">
      <w:pPr>
        <w:spacing w:line="360" w:lineRule="auto"/>
        <w:ind w:firstLineChars="200" w:firstLine="420"/>
        <w:jc w:val="left"/>
        <w:rPr>
          <w:rFonts w:asciiTheme="minorEastAsia" w:hAnsiTheme="minorEastAsia"/>
          <w:szCs w:val="21"/>
        </w:rPr>
      </w:pPr>
      <w:r>
        <w:rPr>
          <w:rFonts w:asciiTheme="minorEastAsia" w:hAnsiTheme="minorEastAsia" w:hint="eastAsia"/>
          <w:szCs w:val="21"/>
        </w:rPr>
        <w:t>2018年</w:t>
      </w:r>
      <w:r w:rsidR="00777894">
        <w:rPr>
          <w:rFonts w:asciiTheme="minorEastAsia" w:hAnsiTheme="minorEastAsia"/>
          <w:szCs w:val="21"/>
        </w:rPr>
        <w:t>9</w:t>
      </w:r>
      <w:r>
        <w:rPr>
          <w:rFonts w:asciiTheme="minorEastAsia" w:hAnsiTheme="minorEastAsia" w:hint="eastAsia"/>
          <w:szCs w:val="21"/>
        </w:rPr>
        <w:t>月</w:t>
      </w:r>
      <w:r w:rsidR="00777894">
        <w:rPr>
          <w:rFonts w:asciiTheme="minorEastAsia" w:hAnsiTheme="minorEastAsia"/>
          <w:szCs w:val="21"/>
        </w:rPr>
        <w:t>26</w:t>
      </w:r>
      <w:r>
        <w:rPr>
          <w:rFonts w:asciiTheme="minorEastAsia" w:hAnsiTheme="minorEastAsia" w:hint="eastAsia"/>
          <w:szCs w:val="21"/>
        </w:rPr>
        <w:t>日起</w:t>
      </w:r>
      <w:proofErr w:type="gramStart"/>
      <w:r>
        <w:rPr>
          <w:rFonts w:asciiTheme="minorEastAsia" w:hAnsiTheme="minorEastAsia" w:hint="eastAsia"/>
          <w:szCs w:val="21"/>
        </w:rPr>
        <w:t>至发行</w:t>
      </w:r>
      <w:proofErr w:type="gramEnd"/>
      <w:r>
        <w:rPr>
          <w:rFonts w:asciiTheme="minorEastAsia" w:hAnsiTheme="minorEastAsia" w:hint="eastAsia"/>
          <w:szCs w:val="21"/>
        </w:rPr>
        <w:t>期结束</w:t>
      </w:r>
    </w:p>
    <w:p w:rsidR="00132CCE" w:rsidRDefault="009E1EFF">
      <w:pPr>
        <w:spacing w:line="360" w:lineRule="auto"/>
        <w:ind w:firstLineChars="200" w:firstLine="420"/>
        <w:jc w:val="left"/>
        <w:rPr>
          <w:rFonts w:asciiTheme="minorEastAsia" w:hAnsiTheme="minorEastAsia"/>
          <w:szCs w:val="21"/>
        </w:rPr>
      </w:pPr>
      <w:r>
        <w:rPr>
          <w:rFonts w:asciiTheme="minorEastAsia" w:hAnsiTheme="minorEastAsia" w:hint="eastAsia"/>
          <w:szCs w:val="21"/>
        </w:rPr>
        <w:t>三、投资者通过以下渠道认购本基金适用的优惠费率</w:t>
      </w:r>
    </w:p>
    <w:tbl>
      <w:tblPr>
        <w:tblW w:w="7189" w:type="dxa"/>
        <w:jc w:val="center"/>
        <w:tblLayout w:type="fixed"/>
        <w:tblCellMar>
          <w:left w:w="0" w:type="dxa"/>
          <w:right w:w="0" w:type="dxa"/>
        </w:tblCellMar>
        <w:tblLook w:val="04A0" w:firstRow="1" w:lastRow="0" w:firstColumn="1" w:lastColumn="0" w:noHBand="0" w:noVBand="1"/>
      </w:tblPr>
      <w:tblGrid>
        <w:gridCol w:w="2488"/>
        <w:gridCol w:w="2125"/>
        <w:gridCol w:w="1212"/>
        <w:gridCol w:w="12"/>
        <w:gridCol w:w="1352"/>
      </w:tblGrid>
      <w:tr w:rsidR="00132CCE">
        <w:trPr>
          <w:trHeight w:val="74"/>
          <w:jc w:val="center"/>
        </w:trPr>
        <w:tc>
          <w:tcPr>
            <w:tcW w:w="24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32CCE" w:rsidRDefault="009E1EFF">
            <w:pPr>
              <w:widowControl/>
              <w:spacing w:line="360" w:lineRule="auto"/>
              <w:ind w:firstLine="422"/>
              <w:jc w:val="center"/>
              <w:rPr>
                <w:rFonts w:asciiTheme="minorEastAsia" w:hAnsiTheme="minorEastAsia" w:cs="Arial"/>
                <w:kern w:val="0"/>
                <w:szCs w:val="21"/>
              </w:rPr>
            </w:pPr>
            <w:r>
              <w:rPr>
                <w:rFonts w:asciiTheme="minorEastAsia" w:hAnsiTheme="minorEastAsia" w:cs="Arial" w:hint="eastAsia"/>
                <w:kern w:val="0"/>
                <w:szCs w:val="21"/>
              </w:rPr>
              <w:t>认购金额M （含认购费，下同）</w:t>
            </w:r>
          </w:p>
        </w:tc>
        <w:tc>
          <w:tcPr>
            <w:tcW w:w="2125" w:type="dxa"/>
            <w:tcBorders>
              <w:top w:val="single" w:sz="8" w:space="0" w:color="auto"/>
              <w:left w:val="single" w:sz="8" w:space="0" w:color="auto"/>
              <w:bottom w:val="single" w:sz="4" w:space="0" w:color="auto"/>
              <w:right w:val="single" w:sz="8" w:space="0" w:color="auto"/>
            </w:tcBorders>
            <w:shd w:val="clear" w:color="auto" w:fill="auto"/>
            <w:vAlign w:val="center"/>
          </w:tcPr>
          <w:p w:rsidR="00132CCE" w:rsidRDefault="009E1EFF">
            <w:pPr>
              <w:pStyle w:val="a7"/>
              <w:spacing w:line="360" w:lineRule="auto"/>
              <w:jc w:val="center"/>
              <w:rPr>
                <w:szCs w:val="21"/>
              </w:rPr>
            </w:pPr>
            <w:r>
              <w:rPr>
                <w:rFonts w:hint="eastAsia"/>
                <w:szCs w:val="21"/>
              </w:rPr>
              <w:t>建设银行、工商银行、</w:t>
            </w:r>
            <w:r>
              <w:rPr>
                <w:szCs w:val="21"/>
              </w:rPr>
              <w:t>民生银行</w:t>
            </w:r>
            <w:r>
              <w:rPr>
                <w:rFonts w:hint="eastAsia"/>
                <w:szCs w:val="21"/>
              </w:rPr>
              <w:t>、招商银行、银联通渠道、通联支付渠道、农业银行快捷支付</w:t>
            </w:r>
          </w:p>
        </w:tc>
        <w:tc>
          <w:tcPr>
            <w:tcW w:w="1212" w:type="dxa"/>
            <w:tcBorders>
              <w:top w:val="single" w:sz="8" w:space="0" w:color="auto"/>
              <w:left w:val="single" w:sz="4" w:space="0" w:color="auto"/>
              <w:bottom w:val="single" w:sz="4" w:space="0" w:color="auto"/>
              <w:right w:val="single" w:sz="4" w:space="0" w:color="auto"/>
            </w:tcBorders>
            <w:vAlign w:val="center"/>
          </w:tcPr>
          <w:p w:rsidR="00132CCE" w:rsidRDefault="009E1EFF">
            <w:pPr>
              <w:pStyle w:val="a7"/>
              <w:spacing w:before="240" w:line="360" w:lineRule="auto"/>
              <w:jc w:val="center"/>
              <w:rPr>
                <w:szCs w:val="21"/>
              </w:rPr>
            </w:pPr>
            <w:r>
              <w:rPr>
                <w:rFonts w:hint="eastAsia"/>
                <w:szCs w:val="21"/>
              </w:rPr>
              <w:t>农业银行</w:t>
            </w:r>
            <w:proofErr w:type="gramStart"/>
            <w:r>
              <w:rPr>
                <w:rFonts w:hint="eastAsia"/>
                <w:szCs w:val="21"/>
              </w:rPr>
              <w:t>网银支付</w:t>
            </w:r>
            <w:proofErr w:type="gramEnd"/>
          </w:p>
        </w:tc>
        <w:tc>
          <w:tcPr>
            <w:tcW w:w="1364" w:type="dxa"/>
            <w:gridSpan w:val="2"/>
            <w:tcBorders>
              <w:top w:val="single" w:sz="8" w:space="0" w:color="auto"/>
              <w:left w:val="single" w:sz="4" w:space="0" w:color="auto"/>
              <w:bottom w:val="single" w:sz="4" w:space="0" w:color="auto"/>
              <w:right w:val="single" w:sz="8" w:space="0" w:color="auto"/>
            </w:tcBorders>
            <w:vAlign w:val="center"/>
          </w:tcPr>
          <w:p w:rsidR="00132CCE" w:rsidRDefault="009E1EFF">
            <w:pPr>
              <w:pStyle w:val="a7"/>
              <w:spacing w:before="240" w:line="360" w:lineRule="auto"/>
              <w:jc w:val="center"/>
              <w:rPr>
                <w:szCs w:val="21"/>
              </w:rPr>
            </w:pPr>
            <w:r>
              <w:rPr>
                <w:rFonts w:hint="eastAsia"/>
                <w:szCs w:val="21"/>
              </w:rPr>
              <w:t>中国银行</w:t>
            </w:r>
          </w:p>
        </w:tc>
      </w:tr>
      <w:tr w:rsidR="00132CCE">
        <w:trPr>
          <w:trHeight w:val="71"/>
          <w:jc w:val="center"/>
        </w:trPr>
        <w:tc>
          <w:tcPr>
            <w:tcW w:w="24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32CCE" w:rsidRDefault="009E1EFF" w:rsidP="00777894">
            <w:pPr>
              <w:widowControl/>
              <w:spacing w:before="240" w:line="360" w:lineRule="auto"/>
              <w:ind w:firstLine="422"/>
              <w:jc w:val="center"/>
              <w:rPr>
                <w:rFonts w:asciiTheme="minorEastAsia" w:hAnsiTheme="minorEastAsia"/>
                <w:kern w:val="0"/>
                <w:szCs w:val="21"/>
              </w:rPr>
            </w:pPr>
            <w:r>
              <w:rPr>
                <w:rFonts w:asciiTheme="minorEastAsia" w:hAnsiTheme="minorEastAsia" w:hint="eastAsia"/>
                <w:kern w:val="0"/>
                <w:szCs w:val="21"/>
              </w:rPr>
              <w:t>M＜</w:t>
            </w:r>
            <w:r w:rsidR="00777894">
              <w:rPr>
                <w:rFonts w:asciiTheme="minorEastAsia" w:hAnsiTheme="minorEastAsia"/>
                <w:kern w:val="0"/>
                <w:szCs w:val="21"/>
              </w:rPr>
              <w:t>10</w:t>
            </w:r>
            <w:r>
              <w:rPr>
                <w:rFonts w:asciiTheme="minorEastAsia" w:hAnsiTheme="minorEastAsia" w:hint="eastAsia"/>
                <w:kern w:val="0"/>
                <w:szCs w:val="21"/>
              </w:rPr>
              <w:t>0万元</w:t>
            </w:r>
          </w:p>
        </w:tc>
        <w:tc>
          <w:tcPr>
            <w:tcW w:w="2125" w:type="dxa"/>
            <w:tcBorders>
              <w:left w:val="single" w:sz="8" w:space="0" w:color="auto"/>
              <w:bottom w:val="single" w:sz="4" w:space="0" w:color="auto"/>
              <w:right w:val="single" w:sz="8" w:space="0" w:color="auto"/>
            </w:tcBorders>
            <w:shd w:val="clear" w:color="auto" w:fill="auto"/>
            <w:vAlign w:val="center"/>
          </w:tcPr>
          <w:p w:rsidR="00132CCE" w:rsidRDefault="009E1EFF">
            <w:pPr>
              <w:jc w:val="center"/>
              <w:rPr>
                <w:rFonts w:asciiTheme="minorEastAsia" w:eastAsiaTheme="minorEastAsia" w:hAnsiTheme="minorEastAsia"/>
              </w:rPr>
            </w:pPr>
            <w:r>
              <w:rPr>
                <w:rFonts w:asciiTheme="minorEastAsia" w:eastAsiaTheme="minorEastAsia" w:hAnsiTheme="minorEastAsia"/>
              </w:rPr>
              <w:t>0.60%</w:t>
            </w:r>
          </w:p>
        </w:tc>
        <w:tc>
          <w:tcPr>
            <w:tcW w:w="1212" w:type="dxa"/>
            <w:tcBorders>
              <w:left w:val="single" w:sz="4" w:space="0" w:color="auto"/>
              <w:bottom w:val="single" w:sz="4" w:space="0" w:color="auto"/>
              <w:right w:val="single" w:sz="4" w:space="0" w:color="auto"/>
            </w:tcBorders>
            <w:vAlign w:val="center"/>
          </w:tcPr>
          <w:p w:rsidR="00132CCE" w:rsidRDefault="009E1EFF">
            <w:pPr>
              <w:jc w:val="center"/>
              <w:rPr>
                <w:rFonts w:asciiTheme="minorEastAsia" w:eastAsiaTheme="minorEastAsia" w:hAnsiTheme="minorEastAsia"/>
              </w:rPr>
            </w:pPr>
            <w:r>
              <w:rPr>
                <w:rFonts w:asciiTheme="minorEastAsia" w:eastAsiaTheme="minorEastAsia" w:hAnsiTheme="minorEastAsia"/>
              </w:rPr>
              <w:t>0.84%</w:t>
            </w:r>
          </w:p>
        </w:tc>
        <w:tc>
          <w:tcPr>
            <w:tcW w:w="1364" w:type="dxa"/>
            <w:gridSpan w:val="2"/>
            <w:tcBorders>
              <w:left w:val="single" w:sz="4" w:space="0" w:color="auto"/>
              <w:bottom w:val="single" w:sz="4" w:space="0" w:color="auto"/>
              <w:right w:val="single" w:sz="8" w:space="0" w:color="auto"/>
            </w:tcBorders>
            <w:vAlign w:val="center"/>
          </w:tcPr>
          <w:p w:rsidR="00132CCE" w:rsidRDefault="009E1EFF">
            <w:pPr>
              <w:jc w:val="center"/>
              <w:rPr>
                <w:rFonts w:asciiTheme="minorEastAsia" w:eastAsiaTheme="minorEastAsia" w:hAnsiTheme="minorEastAsia"/>
              </w:rPr>
            </w:pPr>
            <w:r>
              <w:rPr>
                <w:rFonts w:asciiTheme="minorEastAsia" w:eastAsiaTheme="minorEastAsia" w:hAnsiTheme="minorEastAsia"/>
              </w:rPr>
              <w:t>0.72%</w:t>
            </w:r>
          </w:p>
        </w:tc>
      </w:tr>
      <w:tr w:rsidR="00132CCE">
        <w:trPr>
          <w:trHeight w:val="71"/>
          <w:jc w:val="center"/>
        </w:trPr>
        <w:tc>
          <w:tcPr>
            <w:tcW w:w="24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32CCE" w:rsidRDefault="009E1EFF">
            <w:pPr>
              <w:widowControl/>
              <w:spacing w:before="240" w:line="360" w:lineRule="auto"/>
              <w:ind w:firstLine="422"/>
              <w:jc w:val="center"/>
              <w:rPr>
                <w:rFonts w:asciiTheme="minorEastAsia" w:hAnsiTheme="minorEastAsia" w:cs="Arial"/>
                <w:kern w:val="0"/>
                <w:szCs w:val="21"/>
              </w:rPr>
            </w:pPr>
            <w:r>
              <w:rPr>
                <w:rFonts w:asciiTheme="minorEastAsia" w:hAnsiTheme="minorEastAsia" w:hint="eastAsia"/>
                <w:kern w:val="0"/>
                <w:szCs w:val="21"/>
              </w:rPr>
              <w:t>100万元≤M＜200万元</w:t>
            </w:r>
          </w:p>
        </w:tc>
        <w:tc>
          <w:tcPr>
            <w:tcW w:w="2125" w:type="dxa"/>
            <w:tcBorders>
              <w:top w:val="single" w:sz="4" w:space="0" w:color="auto"/>
              <w:left w:val="single" w:sz="8" w:space="0" w:color="auto"/>
              <w:bottom w:val="single" w:sz="4" w:space="0" w:color="auto"/>
              <w:right w:val="single" w:sz="8" w:space="0" w:color="auto"/>
            </w:tcBorders>
            <w:shd w:val="clear" w:color="auto" w:fill="auto"/>
            <w:vAlign w:val="center"/>
          </w:tcPr>
          <w:p w:rsidR="00132CCE" w:rsidRDefault="009E1EFF">
            <w:pPr>
              <w:jc w:val="center"/>
              <w:rPr>
                <w:rFonts w:asciiTheme="minorEastAsia" w:eastAsiaTheme="minorEastAsia" w:hAnsiTheme="minorEastAsia"/>
              </w:rPr>
            </w:pPr>
            <w:r>
              <w:rPr>
                <w:rFonts w:asciiTheme="minorEastAsia" w:eastAsiaTheme="minorEastAsia" w:hAnsiTheme="minorEastAsia"/>
              </w:rPr>
              <w:t>0.60%</w:t>
            </w:r>
          </w:p>
        </w:tc>
        <w:tc>
          <w:tcPr>
            <w:tcW w:w="1212" w:type="dxa"/>
            <w:tcBorders>
              <w:top w:val="single" w:sz="4" w:space="0" w:color="auto"/>
              <w:left w:val="single" w:sz="4" w:space="0" w:color="auto"/>
              <w:bottom w:val="single" w:sz="4" w:space="0" w:color="auto"/>
              <w:right w:val="single" w:sz="4" w:space="0" w:color="auto"/>
            </w:tcBorders>
            <w:vAlign w:val="center"/>
          </w:tcPr>
          <w:p w:rsidR="00132CCE" w:rsidRDefault="009E1EFF">
            <w:pPr>
              <w:jc w:val="center"/>
              <w:rPr>
                <w:rFonts w:asciiTheme="minorEastAsia" w:eastAsiaTheme="minorEastAsia" w:hAnsiTheme="minorEastAsia"/>
              </w:rPr>
            </w:pPr>
            <w:r>
              <w:rPr>
                <w:rFonts w:asciiTheme="minorEastAsia" w:eastAsiaTheme="minorEastAsia" w:hAnsiTheme="minorEastAsia"/>
              </w:rPr>
              <w:t>0.60%</w:t>
            </w:r>
          </w:p>
        </w:tc>
        <w:tc>
          <w:tcPr>
            <w:tcW w:w="1364" w:type="dxa"/>
            <w:gridSpan w:val="2"/>
            <w:tcBorders>
              <w:top w:val="single" w:sz="4" w:space="0" w:color="auto"/>
              <w:left w:val="single" w:sz="4" w:space="0" w:color="auto"/>
              <w:bottom w:val="single" w:sz="4" w:space="0" w:color="auto"/>
              <w:right w:val="single" w:sz="8" w:space="0" w:color="auto"/>
            </w:tcBorders>
            <w:vAlign w:val="center"/>
          </w:tcPr>
          <w:p w:rsidR="00132CCE" w:rsidRDefault="009E1EFF">
            <w:pPr>
              <w:jc w:val="center"/>
              <w:rPr>
                <w:rFonts w:asciiTheme="minorEastAsia" w:eastAsiaTheme="minorEastAsia" w:hAnsiTheme="minorEastAsia"/>
              </w:rPr>
            </w:pPr>
            <w:r>
              <w:rPr>
                <w:rFonts w:asciiTheme="minorEastAsia" w:eastAsiaTheme="minorEastAsia" w:hAnsiTheme="minorEastAsia"/>
              </w:rPr>
              <w:t>0.60%</w:t>
            </w:r>
          </w:p>
        </w:tc>
      </w:tr>
      <w:tr w:rsidR="00777894">
        <w:trPr>
          <w:trHeight w:val="71"/>
          <w:jc w:val="center"/>
        </w:trPr>
        <w:tc>
          <w:tcPr>
            <w:tcW w:w="24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77894" w:rsidRDefault="00777894" w:rsidP="00777894">
            <w:pPr>
              <w:widowControl/>
              <w:spacing w:before="240" w:line="360" w:lineRule="auto"/>
              <w:ind w:firstLine="422"/>
              <w:jc w:val="center"/>
              <w:rPr>
                <w:rFonts w:asciiTheme="minorEastAsia" w:hAnsiTheme="minorEastAsia" w:cs="Arial"/>
                <w:kern w:val="0"/>
                <w:szCs w:val="21"/>
              </w:rPr>
            </w:pPr>
            <w:r>
              <w:rPr>
                <w:rFonts w:asciiTheme="minorEastAsia" w:hAnsiTheme="minorEastAsia" w:hint="eastAsia"/>
                <w:kern w:val="0"/>
                <w:szCs w:val="21"/>
              </w:rPr>
              <w:t>200万元≤M＜500万元</w:t>
            </w:r>
          </w:p>
        </w:tc>
        <w:tc>
          <w:tcPr>
            <w:tcW w:w="2125" w:type="dxa"/>
            <w:tcBorders>
              <w:left w:val="single" w:sz="8" w:space="0" w:color="auto"/>
              <w:bottom w:val="single" w:sz="4" w:space="0" w:color="auto"/>
              <w:right w:val="single" w:sz="8" w:space="0" w:color="auto"/>
            </w:tcBorders>
            <w:shd w:val="clear" w:color="auto" w:fill="auto"/>
            <w:vAlign w:val="center"/>
          </w:tcPr>
          <w:p w:rsidR="00777894" w:rsidRPr="00CC1DD8" w:rsidRDefault="00777894" w:rsidP="00777894">
            <w:pPr>
              <w:jc w:val="center"/>
              <w:rPr>
                <w:rFonts w:asciiTheme="minorEastAsia" w:eastAsiaTheme="minorEastAsia" w:hAnsiTheme="minorEastAsia"/>
              </w:rPr>
            </w:pPr>
            <w:r w:rsidRPr="00CC1DD8">
              <w:rPr>
                <w:rFonts w:asciiTheme="minorEastAsia" w:eastAsiaTheme="minorEastAsia" w:hAnsiTheme="minorEastAsia"/>
              </w:rPr>
              <w:t>0.</w:t>
            </w:r>
            <w:r>
              <w:rPr>
                <w:rFonts w:asciiTheme="minorEastAsia" w:eastAsiaTheme="minorEastAsia" w:hAnsiTheme="minorEastAsia" w:hint="eastAsia"/>
              </w:rPr>
              <w:t>5</w:t>
            </w:r>
            <w:r w:rsidRPr="00CC1DD8">
              <w:rPr>
                <w:rFonts w:asciiTheme="minorEastAsia" w:eastAsiaTheme="minorEastAsia" w:hAnsiTheme="minorEastAsia"/>
              </w:rPr>
              <w:t>0%</w:t>
            </w:r>
          </w:p>
        </w:tc>
        <w:tc>
          <w:tcPr>
            <w:tcW w:w="1212" w:type="dxa"/>
            <w:tcBorders>
              <w:left w:val="single" w:sz="4" w:space="0" w:color="auto"/>
              <w:bottom w:val="single" w:sz="4" w:space="0" w:color="auto"/>
              <w:right w:val="single" w:sz="4" w:space="0" w:color="auto"/>
            </w:tcBorders>
            <w:vAlign w:val="center"/>
          </w:tcPr>
          <w:p w:rsidR="00777894" w:rsidRPr="00CC1DD8" w:rsidRDefault="00777894" w:rsidP="00777894">
            <w:pPr>
              <w:jc w:val="center"/>
              <w:rPr>
                <w:rFonts w:asciiTheme="minorEastAsia" w:eastAsiaTheme="minorEastAsia" w:hAnsiTheme="minorEastAsia"/>
              </w:rPr>
            </w:pPr>
            <w:r w:rsidRPr="00CC1DD8">
              <w:rPr>
                <w:rFonts w:asciiTheme="minorEastAsia" w:eastAsiaTheme="minorEastAsia" w:hAnsiTheme="minorEastAsia"/>
              </w:rPr>
              <w:t>0.</w:t>
            </w:r>
            <w:r>
              <w:rPr>
                <w:rFonts w:asciiTheme="minorEastAsia" w:eastAsiaTheme="minorEastAsia" w:hAnsiTheme="minorEastAsia" w:hint="eastAsia"/>
              </w:rPr>
              <w:t>5</w:t>
            </w:r>
            <w:r w:rsidRPr="00CC1DD8">
              <w:rPr>
                <w:rFonts w:asciiTheme="minorEastAsia" w:eastAsiaTheme="minorEastAsia" w:hAnsiTheme="minorEastAsia"/>
              </w:rPr>
              <w:t>0%</w:t>
            </w:r>
          </w:p>
        </w:tc>
        <w:tc>
          <w:tcPr>
            <w:tcW w:w="1364" w:type="dxa"/>
            <w:gridSpan w:val="2"/>
            <w:tcBorders>
              <w:left w:val="single" w:sz="4" w:space="0" w:color="auto"/>
              <w:bottom w:val="single" w:sz="4" w:space="0" w:color="auto"/>
              <w:right w:val="single" w:sz="8" w:space="0" w:color="auto"/>
            </w:tcBorders>
            <w:vAlign w:val="center"/>
          </w:tcPr>
          <w:p w:rsidR="00777894" w:rsidRPr="00CC1DD8" w:rsidRDefault="00777894" w:rsidP="00777894">
            <w:pPr>
              <w:jc w:val="center"/>
              <w:rPr>
                <w:rFonts w:asciiTheme="minorEastAsia" w:eastAsiaTheme="minorEastAsia" w:hAnsiTheme="minorEastAsia"/>
              </w:rPr>
            </w:pPr>
            <w:r w:rsidRPr="00CC1DD8">
              <w:rPr>
                <w:rFonts w:asciiTheme="minorEastAsia" w:eastAsiaTheme="minorEastAsia" w:hAnsiTheme="minorEastAsia"/>
              </w:rPr>
              <w:t>0.</w:t>
            </w:r>
            <w:r>
              <w:rPr>
                <w:rFonts w:asciiTheme="minorEastAsia" w:eastAsiaTheme="minorEastAsia" w:hAnsiTheme="minorEastAsia" w:hint="eastAsia"/>
              </w:rPr>
              <w:t>5</w:t>
            </w:r>
            <w:r w:rsidRPr="00CC1DD8">
              <w:rPr>
                <w:rFonts w:asciiTheme="minorEastAsia" w:eastAsiaTheme="minorEastAsia" w:hAnsiTheme="minorEastAsia"/>
              </w:rPr>
              <w:t>0%</w:t>
            </w:r>
          </w:p>
        </w:tc>
      </w:tr>
      <w:tr w:rsidR="00132CCE">
        <w:trPr>
          <w:trHeight w:val="71"/>
          <w:jc w:val="center"/>
        </w:trPr>
        <w:tc>
          <w:tcPr>
            <w:tcW w:w="248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132CCE" w:rsidRDefault="009E1EFF">
            <w:pPr>
              <w:widowControl/>
              <w:spacing w:before="240" w:line="360" w:lineRule="auto"/>
              <w:ind w:firstLine="422"/>
              <w:jc w:val="center"/>
              <w:rPr>
                <w:rFonts w:cs="Arial"/>
              </w:rPr>
            </w:pPr>
            <w:r>
              <w:rPr>
                <w:rFonts w:asciiTheme="minorEastAsia" w:hAnsiTheme="minorEastAsia" w:hint="eastAsia"/>
                <w:kern w:val="0"/>
                <w:szCs w:val="21"/>
              </w:rPr>
              <w:t>M≥500万元</w:t>
            </w:r>
          </w:p>
        </w:tc>
        <w:tc>
          <w:tcPr>
            <w:tcW w:w="2125" w:type="dxa"/>
            <w:tcBorders>
              <w:top w:val="single" w:sz="4" w:space="0" w:color="auto"/>
              <w:left w:val="single" w:sz="8" w:space="0" w:color="auto"/>
              <w:bottom w:val="single" w:sz="4" w:space="0" w:color="auto"/>
              <w:right w:val="single" w:sz="8" w:space="0" w:color="auto"/>
            </w:tcBorders>
            <w:shd w:val="clear" w:color="auto" w:fill="auto"/>
            <w:vAlign w:val="center"/>
          </w:tcPr>
          <w:p w:rsidR="00132CCE" w:rsidRDefault="009E1EFF">
            <w:pPr>
              <w:pStyle w:val="a7"/>
              <w:spacing w:before="240" w:line="360" w:lineRule="auto"/>
              <w:jc w:val="center"/>
              <w:rPr>
                <w:rFonts w:asciiTheme="minorEastAsia" w:hAnsiTheme="minorEastAsia"/>
                <w:kern w:val="0"/>
                <w:szCs w:val="21"/>
              </w:rPr>
            </w:pPr>
            <w:r>
              <w:rPr>
                <w:rFonts w:asciiTheme="minorEastAsia" w:hAnsiTheme="minorEastAsia" w:hint="eastAsia"/>
                <w:kern w:val="0"/>
                <w:szCs w:val="21"/>
              </w:rPr>
              <w:t>1000元/笔</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132CCE" w:rsidRDefault="009E1EFF">
            <w:pPr>
              <w:pStyle w:val="a7"/>
              <w:spacing w:before="240" w:line="360" w:lineRule="auto"/>
              <w:jc w:val="center"/>
              <w:rPr>
                <w:rFonts w:asciiTheme="minorEastAsia" w:hAnsiTheme="minorEastAsia"/>
                <w:szCs w:val="21"/>
              </w:rPr>
            </w:pPr>
            <w:r>
              <w:rPr>
                <w:rFonts w:asciiTheme="minorEastAsia" w:hAnsiTheme="minorEastAsia" w:hint="eastAsia"/>
                <w:szCs w:val="21"/>
              </w:rPr>
              <w:t>1000元/笔</w:t>
            </w:r>
          </w:p>
        </w:tc>
        <w:tc>
          <w:tcPr>
            <w:tcW w:w="1352" w:type="dxa"/>
            <w:tcBorders>
              <w:top w:val="single" w:sz="4" w:space="0" w:color="auto"/>
              <w:left w:val="single" w:sz="4" w:space="0" w:color="auto"/>
              <w:bottom w:val="single" w:sz="4" w:space="0" w:color="auto"/>
              <w:right w:val="single" w:sz="8" w:space="0" w:color="auto"/>
            </w:tcBorders>
            <w:vAlign w:val="center"/>
          </w:tcPr>
          <w:p w:rsidR="00132CCE" w:rsidRDefault="009E1EFF">
            <w:pPr>
              <w:pStyle w:val="a7"/>
              <w:spacing w:before="240" w:line="360" w:lineRule="auto"/>
              <w:jc w:val="center"/>
              <w:rPr>
                <w:rFonts w:asciiTheme="minorEastAsia" w:hAnsiTheme="minorEastAsia"/>
                <w:szCs w:val="21"/>
              </w:rPr>
            </w:pPr>
            <w:r>
              <w:rPr>
                <w:rFonts w:asciiTheme="minorEastAsia" w:hAnsiTheme="minorEastAsia" w:hint="eastAsia"/>
                <w:szCs w:val="21"/>
              </w:rPr>
              <w:t>1000元/笔</w:t>
            </w:r>
          </w:p>
        </w:tc>
      </w:tr>
    </w:tbl>
    <w:p w:rsidR="00132CCE" w:rsidRDefault="009E1EFF">
      <w:pPr>
        <w:widowControl/>
        <w:shd w:val="clear" w:color="auto" w:fill="FFFFFF"/>
        <w:spacing w:line="360" w:lineRule="auto"/>
        <w:ind w:firstLineChars="200" w:firstLine="420"/>
        <w:jc w:val="left"/>
        <w:rPr>
          <w:rFonts w:asciiTheme="minorEastAsia" w:hAnsiTheme="minorEastAsia"/>
          <w:szCs w:val="21"/>
        </w:rPr>
      </w:pPr>
      <w:r>
        <w:rPr>
          <w:rFonts w:asciiTheme="minorEastAsia" w:hAnsiTheme="minorEastAsia" w:hint="eastAsia"/>
          <w:szCs w:val="21"/>
        </w:rPr>
        <w:t>四、重要提示</w:t>
      </w:r>
    </w:p>
    <w:p w:rsidR="00132CCE" w:rsidRDefault="00777894">
      <w:pPr>
        <w:widowControl/>
        <w:shd w:val="clear" w:color="auto" w:fill="FFFFFF"/>
        <w:spacing w:line="360" w:lineRule="auto"/>
        <w:ind w:firstLine="420"/>
        <w:jc w:val="left"/>
        <w:rPr>
          <w:rFonts w:ascii="宋体" w:hAnsi="宋体"/>
          <w:szCs w:val="21"/>
        </w:rPr>
      </w:pPr>
      <w:r w:rsidRPr="00777894">
        <w:rPr>
          <w:rFonts w:ascii="宋体" w:hAnsi="宋体" w:hint="eastAsia"/>
          <w:szCs w:val="21"/>
        </w:rPr>
        <w:t>银</w:t>
      </w:r>
      <w:proofErr w:type="gramStart"/>
      <w:r w:rsidRPr="00777894">
        <w:rPr>
          <w:rFonts w:ascii="宋体" w:hAnsi="宋体" w:hint="eastAsia"/>
          <w:szCs w:val="21"/>
        </w:rPr>
        <w:t>华行业轮</w:t>
      </w:r>
      <w:proofErr w:type="gramEnd"/>
      <w:r w:rsidRPr="00777894">
        <w:rPr>
          <w:rFonts w:ascii="宋体" w:hAnsi="宋体" w:hint="eastAsia"/>
          <w:szCs w:val="21"/>
        </w:rPr>
        <w:t>动混合型证券投资基金</w:t>
      </w:r>
      <w:r w:rsidR="009E1EFF">
        <w:rPr>
          <w:rFonts w:asciiTheme="minorEastAsia" w:hAnsiTheme="minorEastAsia"/>
          <w:szCs w:val="21"/>
        </w:rPr>
        <w:t>的认购时间为</w:t>
      </w:r>
      <w:r w:rsidR="009E1EFF">
        <w:rPr>
          <w:rFonts w:asciiTheme="minorEastAsia" w:hAnsiTheme="minorEastAsia" w:hint="eastAsia"/>
          <w:szCs w:val="21"/>
        </w:rPr>
        <w:t>2018年</w:t>
      </w:r>
      <w:r>
        <w:rPr>
          <w:rFonts w:asciiTheme="minorEastAsia" w:hAnsiTheme="minorEastAsia"/>
          <w:szCs w:val="21"/>
        </w:rPr>
        <w:t>9</w:t>
      </w:r>
      <w:r w:rsidR="009E1EFF">
        <w:rPr>
          <w:rFonts w:asciiTheme="minorEastAsia" w:hAnsiTheme="minorEastAsia" w:hint="eastAsia"/>
          <w:szCs w:val="21"/>
        </w:rPr>
        <w:t>月</w:t>
      </w:r>
      <w:r>
        <w:rPr>
          <w:rFonts w:asciiTheme="minorEastAsia" w:hAnsiTheme="minorEastAsia"/>
          <w:szCs w:val="21"/>
        </w:rPr>
        <w:t>26</w:t>
      </w:r>
      <w:r w:rsidR="009E1EFF">
        <w:rPr>
          <w:rFonts w:asciiTheme="minorEastAsia" w:hAnsiTheme="minorEastAsia" w:hint="eastAsia"/>
          <w:szCs w:val="21"/>
        </w:rPr>
        <w:t>日至2018年</w:t>
      </w:r>
      <w:r>
        <w:rPr>
          <w:rFonts w:asciiTheme="minorEastAsia" w:hAnsiTheme="minorEastAsia"/>
          <w:szCs w:val="21"/>
        </w:rPr>
        <w:t>11</w:t>
      </w:r>
      <w:r w:rsidR="009E1EFF">
        <w:rPr>
          <w:rFonts w:asciiTheme="minorEastAsia" w:hAnsiTheme="minorEastAsia" w:hint="eastAsia"/>
          <w:szCs w:val="21"/>
        </w:rPr>
        <w:t>月</w:t>
      </w:r>
      <w:r>
        <w:rPr>
          <w:rFonts w:asciiTheme="minorEastAsia" w:hAnsiTheme="minorEastAsia"/>
          <w:szCs w:val="21"/>
        </w:rPr>
        <w:t>30</w:t>
      </w:r>
      <w:r w:rsidR="009E1EFF">
        <w:rPr>
          <w:rFonts w:asciiTheme="minorEastAsia" w:hAnsiTheme="minorEastAsia" w:hint="eastAsia"/>
          <w:szCs w:val="21"/>
        </w:rPr>
        <w:t>日，</w:t>
      </w:r>
      <w:r w:rsidR="009E1EFF">
        <w:t>如果募集期延长，本优惠将同步延长</w:t>
      </w:r>
      <w:r w:rsidR="009E1EFF">
        <w:rPr>
          <w:rFonts w:asciiTheme="minorEastAsia" w:hAnsiTheme="minorEastAsia"/>
          <w:szCs w:val="21"/>
        </w:rPr>
        <w:t>。本公告仅对本基金网上直销认购费率优惠的有关</w:t>
      </w:r>
      <w:r w:rsidR="009E1EFF">
        <w:rPr>
          <w:rFonts w:asciiTheme="minorEastAsia" w:hAnsiTheme="minorEastAsia"/>
          <w:szCs w:val="21"/>
        </w:rPr>
        <w:lastRenderedPageBreak/>
        <w:t>事项予以说明。投资者欲了解本基金的详细情况，请阅读本公司于201</w:t>
      </w:r>
      <w:r w:rsidR="009E1EFF">
        <w:rPr>
          <w:rFonts w:asciiTheme="minorEastAsia" w:hAnsiTheme="minorEastAsia" w:hint="eastAsia"/>
          <w:szCs w:val="21"/>
        </w:rPr>
        <w:t>8</w:t>
      </w:r>
      <w:r w:rsidR="009E1EFF">
        <w:rPr>
          <w:rFonts w:asciiTheme="minorEastAsia" w:hAnsiTheme="minorEastAsia"/>
          <w:szCs w:val="21"/>
        </w:rPr>
        <w:t>年</w:t>
      </w:r>
      <w:r w:rsidR="00AD1DB6" w:rsidRPr="00AD1DB6">
        <w:rPr>
          <w:rFonts w:asciiTheme="minorEastAsia" w:hAnsiTheme="minorEastAsia"/>
          <w:szCs w:val="21"/>
        </w:rPr>
        <w:t>9</w:t>
      </w:r>
      <w:r w:rsidR="009E1EFF" w:rsidRPr="00AD1DB6">
        <w:rPr>
          <w:rFonts w:asciiTheme="minorEastAsia" w:hAnsiTheme="minorEastAsia"/>
          <w:szCs w:val="21"/>
        </w:rPr>
        <w:t>月</w:t>
      </w:r>
      <w:r w:rsidR="00AD1DB6" w:rsidRPr="00AD1DB6">
        <w:rPr>
          <w:rFonts w:asciiTheme="minorEastAsia" w:hAnsiTheme="minorEastAsia"/>
          <w:szCs w:val="21"/>
        </w:rPr>
        <w:t>21</w:t>
      </w:r>
      <w:r w:rsidR="009E1EFF">
        <w:rPr>
          <w:rFonts w:asciiTheme="minorEastAsia" w:hAnsiTheme="minorEastAsia"/>
          <w:szCs w:val="21"/>
        </w:rPr>
        <w:t>日披露的相关公告。</w:t>
      </w:r>
      <w:r w:rsidR="009E1EFF">
        <w:rPr>
          <w:rFonts w:asciiTheme="minorEastAsia" w:hAnsiTheme="minorEastAsia" w:hint="eastAsia"/>
          <w:szCs w:val="21"/>
        </w:rPr>
        <w:t xml:space="preserve">  </w:t>
      </w:r>
    </w:p>
    <w:p w:rsidR="00132CCE" w:rsidRDefault="009E1EFF">
      <w:pPr>
        <w:spacing w:line="360" w:lineRule="auto"/>
        <w:ind w:firstLineChars="257" w:firstLine="540"/>
        <w:rPr>
          <w:rFonts w:ascii="宋体" w:hAnsi="宋体"/>
          <w:szCs w:val="21"/>
        </w:rPr>
      </w:pPr>
      <w:r>
        <w:rPr>
          <w:rFonts w:ascii="宋体" w:hAnsi="宋体" w:hint="eastAsia"/>
          <w:szCs w:val="21"/>
        </w:rPr>
        <w:t>五、投资者可通过以下途径咨询有关详情</w:t>
      </w:r>
      <w:r>
        <w:rPr>
          <w:rFonts w:ascii="宋体" w:hAnsi="宋体"/>
          <w:szCs w:val="21"/>
        </w:rPr>
        <w:t xml:space="preserve">: </w:t>
      </w:r>
    </w:p>
    <w:p w:rsidR="00132CCE" w:rsidRDefault="009E1EFF">
      <w:pPr>
        <w:spacing w:line="360" w:lineRule="auto"/>
        <w:ind w:firstLineChars="257" w:firstLine="540"/>
        <w:rPr>
          <w:rFonts w:ascii="宋体" w:hAnsi="宋体"/>
          <w:szCs w:val="21"/>
        </w:rPr>
      </w:pPr>
      <w:r>
        <w:rPr>
          <w:rFonts w:ascii="宋体" w:hAnsi="宋体" w:hint="eastAsia"/>
          <w:szCs w:val="21"/>
        </w:rPr>
        <w:t>银华基金管理股份有限公司网址</w:t>
      </w:r>
      <w:r>
        <w:rPr>
          <w:rFonts w:ascii="宋体" w:hAnsi="宋体"/>
          <w:szCs w:val="21"/>
        </w:rPr>
        <w:t>: http://www.yhfund.com.cn</w:t>
      </w:r>
      <w:r>
        <w:rPr>
          <w:rFonts w:ascii="宋体" w:hAnsi="宋体" w:hint="eastAsia"/>
          <w:szCs w:val="21"/>
        </w:rPr>
        <w:t>。</w:t>
      </w:r>
      <w:r>
        <w:rPr>
          <w:rFonts w:ascii="宋体" w:hAnsi="宋体"/>
          <w:szCs w:val="21"/>
        </w:rPr>
        <w:t xml:space="preserve"> </w:t>
      </w:r>
    </w:p>
    <w:p w:rsidR="00132CCE" w:rsidRDefault="009E1EFF">
      <w:pPr>
        <w:spacing w:line="360" w:lineRule="auto"/>
        <w:ind w:firstLineChars="257" w:firstLine="540"/>
        <w:rPr>
          <w:rFonts w:ascii="宋体" w:hAnsi="宋体"/>
          <w:szCs w:val="21"/>
        </w:rPr>
      </w:pPr>
      <w:r>
        <w:rPr>
          <w:rFonts w:ascii="宋体" w:hAnsi="宋体" w:hint="eastAsia"/>
          <w:szCs w:val="21"/>
        </w:rPr>
        <w:t>银华基金管理股份有限公司客</w:t>
      </w:r>
      <w:proofErr w:type="gramStart"/>
      <w:r>
        <w:rPr>
          <w:rFonts w:ascii="宋体" w:hAnsi="宋体" w:hint="eastAsia"/>
          <w:szCs w:val="21"/>
        </w:rPr>
        <w:t>服电话</w:t>
      </w:r>
      <w:proofErr w:type="gramEnd"/>
      <w:r>
        <w:rPr>
          <w:rFonts w:ascii="宋体" w:hAnsi="宋体"/>
          <w:szCs w:val="21"/>
        </w:rPr>
        <w:t>:400-678-3333</w:t>
      </w:r>
      <w:r>
        <w:rPr>
          <w:rFonts w:ascii="宋体" w:hAnsi="宋体" w:hint="eastAsia"/>
          <w:szCs w:val="21"/>
        </w:rPr>
        <w:t>。</w:t>
      </w:r>
      <w:r>
        <w:rPr>
          <w:rFonts w:ascii="宋体" w:hAnsi="宋体"/>
          <w:szCs w:val="21"/>
        </w:rPr>
        <w:t xml:space="preserve"> </w:t>
      </w:r>
    </w:p>
    <w:p w:rsidR="00132CCE" w:rsidRDefault="00132CCE">
      <w:pPr>
        <w:spacing w:line="360" w:lineRule="auto"/>
        <w:rPr>
          <w:rFonts w:ascii="宋体" w:hAnsi="宋体"/>
          <w:szCs w:val="21"/>
        </w:rPr>
      </w:pPr>
    </w:p>
    <w:p w:rsidR="00132CCE" w:rsidRDefault="009E1EFF">
      <w:pPr>
        <w:spacing w:line="360" w:lineRule="auto"/>
        <w:ind w:firstLineChars="257" w:firstLine="540"/>
        <w:rPr>
          <w:rFonts w:ascii="宋体" w:hAnsi="宋体"/>
          <w:szCs w:val="21"/>
        </w:rPr>
      </w:pPr>
      <w:r>
        <w:rPr>
          <w:rFonts w:ascii="宋体" w:hAnsi="宋体" w:hint="eastAsia"/>
          <w:szCs w:val="21"/>
        </w:rPr>
        <w:t>风险提示</w:t>
      </w:r>
      <w:r>
        <w:rPr>
          <w:rFonts w:ascii="宋体" w:hAnsi="宋体"/>
          <w:szCs w:val="21"/>
        </w:rPr>
        <w:t>:</w:t>
      </w:r>
      <w:r>
        <w:rPr>
          <w:rFonts w:ascii="宋体" w:hAnsi="宋体" w:hint="eastAsia"/>
          <w:szCs w:val="21"/>
        </w:rPr>
        <w:t>本公司承诺以诚实信用、勤勉尽责的原则管理和运用基金资产</w:t>
      </w:r>
      <w:r>
        <w:rPr>
          <w:rFonts w:ascii="宋体" w:hAnsi="宋体"/>
          <w:szCs w:val="21"/>
        </w:rPr>
        <w:t>,</w:t>
      </w:r>
      <w:r>
        <w:rPr>
          <w:rFonts w:ascii="宋体" w:hAnsi="宋体" w:hint="eastAsia"/>
          <w:szCs w:val="21"/>
        </w:rPr>
        <w:t>但不保证旗下基金一定盈利</w:t>
      </w:r>
      <w:r>
        <w:rPr>
          <w:rFonts w:ascii="宋体" w:hAnsi="宋体"/>
          <w:szCs w:val="21"/>
        </w:rPr>
        <w:t>,</w:t>
      </w:r>
      <w:r>
        <w:rPr>
          <w:rFonts w:ascii="宋体" w:hAnsi="宋体" w:hint="eastAsia"/>
          <w:szCs w:val="21"/>
        </w:rPr>
        <w:t>也不保证最低收益。基金投资有风险</w:t>
      </w:r>
      <w:r>
        <w:rPr>
          <w:rFonts w:ascii="宋体" w:hAnsi="宋体"/>
          <w:szCs w:val="21"/>
        </w:rPr>
        <w:t>,</w:t>
      </w:r>
      <w:r>
        <w:rPr>
          <w:rFonts w:ascii="宋体" w:hAnsi="宋体" w:hint="eastAsia"/>
          <w:szCs w:val="21"/>
        </w:rPr>
        <w:t>本公司管理的其它基金的过往业绩并不构成对上述基金的业绩表现的保证。本公司提醒投资人在做出投资决策后</w:t>
      </w:r>
      <w:r>
        <w:rPr>
          <w:rFonts w:ascii="宋体" w:hAnsi="宋体"/>
          <w:szCs w:val="21"/>
        </w:rPr>
        <w:t>,</w:t>
      </w:r>
      <w:r>
        <w:rPr>
          <w:rFonts w:ascii="宋体" w:hAnsi="宋体" w:hint="eastAsia"/>
          <w:szCs w:val="21"/>
        </w:rPr>
        <w:t>基金运营状况与基金净值变化引致的投资风险</w:t>
      </w:r>
      <w:r>
        <w:rPr>
          <w:rFonts w:ascii="宋体" w:hAnsi="宋体"/>
          <w:szCs w:val="21"/>
        </w:rPr>
        <w:t>,</w:t>
      </w:r>
      <w:r>
        <w:rPr>
          <w:rFonts w:ascii="宋体" w:hAnsi="宋体" w:hint="eastAsia"/>
          <w:szCs w:val="21"/>
        </w:rPr>
        <w:t>由投资人自行负担。投资者投资基金时应认真阅读基金的《基金合同》、《招募说明书》等文件。</w:t>
      </w:r>
      <w:r>
        <w:rPr>
          <w:rFonts w:ascii="宋体" w:hAnsi="宋体"/>
          <w:szCs w:val="21"/>
        </w:rPr>
        <w:t xml:space="preserve"> </w:t>
      </w:r>
    </w:p>
    <w:p w:rsidR="00132CCE" w:rsidRDefault="009E1EFF">
      <w:pPr>
        <w:spacing w:line="360" w:lineRule="auto"/>
        <w:ind w:firstLineChars="200" w:firstLine="420"/>
        <w:rPr>
          <w:rFonts w:asciiTheme="minorEastAsia" w:hAnsiTheme="minorEastAsia"/>
          <w:szCs w:val="21"/>
        </w:rPr>
      </w:pPr>
      <w:r>
        <w:rPr>
          <w:rFonts w:ascii="宋体" w:hAnsi="宋体" w:hint="eastAsia"/>
          <w:szCs w:val="21"/>
        </w:rPr>
        <w:t>特此公告。</w:t>
      </w:r>
    </w:p>
    <w:p w:rsidR="00132CCE" w:rsidRDefault="00132CCE">
      <w:pPr>
        <w:pStyle w:val="a6"/>
        <w:spacing w:line="360" w:lineRule="auto"/>
        <w:ind w:left="996" w:right="120" w:firstLineChars="0" w:firstLine="0"/>
        <w:jc w:val="right"/>
        <w:rPr>
          <w:rFonts w:asciiTheme="minorEastAsia" w:hAnsiTheme="minorEastAsia"/>
          <w:szCs w:val="21"/>
        </w:rPr>
      </w:pPr>
    </w:p>
    <w:p w:rsidR="00132CCE" w:rsidRDefault="00132CCE">
      <w:pPr>
        <w:pStyle w:val="a6"/>
        <w:spacing w:line="360" w:lineRule="auto"/>
        <w:ind w:left="996" w:right="120" w:firstLineChars="0" w:firstLine="0"/>
        <w:jc w:val="right"/>
        <w:rPr>
          <w:rFonts w:asciiTheme="minorEastAsia" w:hAnsiTheme="minorEastAsia"/>
          <w:szCs w:val="21"/>
        </w:rPr>
      </w:pPr>
    </w:p>
    <w:p w:rsidR="00132CCE" w:rsidRDefault="00132CCE">
      <w:pPr>
        <w:pStyle w:val="a6"/>
        <w:spacing w:line="360" w:lineRule="auto"/>
        <w:ind w:left="996" w:right="120" w:firstLineChars="0" w:firstLine="0"/>
        <w:jc w:val="right"/>
        <w:rPr>
          <w:rFonts w:asciiTheme="minorEastAsia" w:hAnsiTheme="minorEastAsia"/>
          <w:szCs w:val="21"/>
        </w:rPr>
      </w:pPr>
    </w:p>
    <w:p w:rsidR="00132CCE" w:rsidRDefault="009E1EFF">
      <w:pPr>
        <w:pStyle w:val="a6"/>
        <w:spacing w:line="360" w:lineRule="auto"/>
        <w:ind w:left="996" w:right="120" w:firstLineChars="0" w:firstLine="0"/>
        <w:jc w:val="right"/>
        <w:rPr>
          <w:rFonts w:asciiTheme="minorEastAsia" w:hAnsiTheme="minorEastAsia"/>
          <w:szCs w:val="21"/>
        </w:rPr>
      </w:pPr>
      <w:r>
        <w:rPr>
          <w:rFonts w:asciiTheme="minorEastAsia" w:hAnsiTheme="minorEastAsia" w:hint="eastAsia"/>
          <w:szCs w:val="21"/>
        </w:rPr>
        <w:t>银华基金管理股份有限公司</w:t>
      </w:r>
    </w:p>
    <w:p w:rsidR="00132CCE" w:rsidRDefault="009E1EFF">
      <w:pPr>
        <w:pStyle w:val="a6"/>
        <w:spacing w:line="360" w:lineRule="auto"/>
        <w:ind w:left="996" w:right="120" w:firstLineChars="0" w:firstLine="0"/>
        <w:jc w:val="right"/>
        <w:rPr>
          <w:rFonts w:asciiTheme="minorEastAsia" w:hAnsiTheme="minorEastAsia"/>
          <w:szCs w:val="21"/>
        </w:rPr>
      </w:pPr>
      <w:r>
        <w:rPr>
          <w:rFonts w:asciiTheme="minorEastAsia" w:hAnsiTheme="minorEastAsia" w:hint="eastAsia"/>
          <w:szCs w:val="21"/>
        </w:rPr>
        <w:t>2018</w:t>
      </w:r>
      <w:r w:rsidRPr="00AD1DB6">
        <w:rPr>
          <w:rFonts w:asciiTheme="minorEastAsia" w:hAnsiTheme="minorEastAsia" w:hint="eastAsia"/>
          <w:szCs w:val="21"/>
        </w:rPr>
        <w:t>年</w:t>
      </w:r>
      <w:r w:rsidR="00AD1DB6" w:rsidRPr="00AD1DB6">
        <w:rPr>
          <w:rFonts w:asciiTheme="minorEastAsia" w:hAnsiTheme="minorEastAsia"/>
          <w:szCs w:val="21"/>
        </w:rPr>
        <w:t>9</w:t>
      </w:r>
      <w:r w:rsidRPr="00AD1DB6">
        <w:rPr>
          <w:rFonts w:asciiTheme="minorEastAsia" w:hAnsiTheme="minorEastAsia" w:hint="eastAsia"/>
          <w:szCs w:val="21"/>
        </w:rPr>
        <w:t>月</w:t>
      </w:r>
      <w:r w:rsidR="00AD1DB6" w:rsidRPr="00AD1DB6">
        <w:rPr>
          <w:rFonts w:asciiTheme="minorEastAsia" w:hAnsiTheme="minorEastAsia"/>
          <w:szCs w:val="21"/>
        </w:rPr>
        <w:t>25</w:t>
      </w:r>
      <w:r w:rsidRPr="00AD1DB6">
        <w:rPr>
          <w:rFonts w:asciiTheme="minorEastAsia" w:hAnsiTheme="minorEastAsia" w:hint="eastAsia"/>
          <w:szCs w:val="21"/>
        </w:rPr>
        <w:t>日</w:t>
      </w:r>
    </w:p>
    <w:p w:rsidR="00132CCE" w:rsidRDefault="00132CCE">
      <w:pPr>
        <w:autoSpaceDE w:val="0"/>
        <w:autoSpaceDN w:val="0"/>
        <w:adjustRightInd w:val="0"/>
        <w:spacing w:line="360" w:lineRule="auto"/>
        <w:ind w:firstLine="480"/>
        <w:jc w:val="left"/>
        <w:rPr>
          <w:rFonts w:asciiTheme="minorEastAsia" w:hAnsiTheme="minorEastAsia"/>
          <w:szCs w:val="21"/>
        </w:rPr>
      </w:pPr>
      <w:bookmarkStart w:id="0" w:name="_GoBack"/>
      <w:bookmarkEnd w:id="0"/>
    </w:p>
    <w:sectPr w:rsidR="00132CC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25F" w:rsidRDefault="004A225F">
      <w:r>
        <w:separator/>
      </w:r>
    </w:p>
  </w:endnote>
  <w:endnote w:type="continuationSeparator" w:id="0">
    <w:p w:rsidR="004A225F" w:rsidRDefault="004A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25F" w:rsidRDefault="004A225F">
      <w:r>
        <w:separator/>
      </w:r>
    </w:p>
  </w:footnote>
  <w:footnote w:type="continuationSeparator" w:id="0">
    <w:p w:rsidR="004A225F" w:rsidRDefault="004A2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CE" w:rsidRDefault="009E1EFF">
    <w:pPr>
      <w:pStyle w:val="a5"/>
      <w:jc w:val="both"/>
    </w:pPr>
    <w:r>
      <w:rPr>
        <w:noProof/>
      </w:rPr>
      <w:drawing>
        <wp:inline distT="0" distB="0" distL="0" distR="0">
          <wp:extent cx="2527935" cy="278130"/>
          <wp:effectExtent l="0" t="0" r="5715" b="7620"/>
          <wp:docPr id="3" name="图片 3" descr="C:\Users\Lu\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u\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29575" cy="2783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DD"/>
    <w:rsid w:val="00092B31"/>
    <w:rsid w:val="000C45BA"/>
    <w:rsid w:val="000D721A"/>
    <w:rsid w:val="000D7378"/>
    <w:rsid w:val="000F0B55"/>
    <w:rsid w:val="001013AD"/>
    <w:rsid w:val="0011175F"/>
    <w:rsid w:val="0012456E"/>
    <w:rsid w:val="00132CCE"/>
    <w:rsid w:val="001570EB"/>
    <w:rsid w:val="001B2896"/>
    <w:rsid w:val="001B7C34"/>
    <w:rsid w:val="001D4C3F"/>
    <w:rsid w:val="002054E9"/>
    <w:rsid w:val="00261AC0"/>
    <w:rsid w:val="002B54FF"/>
    <w:rsid w:val="002B5BC1"/>
    <w:rsid w:val="002D4B17"/>
    <w:rsid w:val="002E1F6E"/>
    <w:rsid w:val="002E76FF"/>
    <w:rsid w:val="00306F2C"/>
    <w:rsid w:val="003123EF"/>
    <w:rsid w:val="00357374"/>
    <w:rsid w:val="003649E3"/>
    <w:rsid w:val="00380F5F"/>
    <w:rsid w:val="003A09A0"/>
    <w:rsid w:val="003A7C83"/>
    <w:rsid w:val="003F642B"/>
    <w:rsid w:val="0040651B"/>
    <w:rsid w:val="0042626C"/>
    <w:rsid w:val="00433927"/>
    <w:rsid w:val="00437535"/>
    <w:rsid w:val="00476882"/>
    <w:rsid w:val="0047758C"/>
    <w:rsid w:val="004A225F"/>
    <w:rsid w:val="004D7FFD"/>
    <w:rsid w:val="00506F1F"/>
    <w:rsid w:val="00521B8C"/>
    <w:rsid w:val="00550D3C"/>
    <w:rsid w:val="005720A9"/>
    <w:rsid w:val="00585E6A"/>
    <w:rsid w:val="005F1107"/>
    <w:rsid w:val="005F15F8"/>
    <w:rsid w:val="005F4CA0"/>
    <w:rsid w:val="00603B66"/>
    <w:rsid w:val="0062625D"/>
    <w:rsid w:val="006369DD"/>
    <w:rsid w:val="00686094"/>
    <w:rsid w:val="006905E5"/>
    <w:rsid w:val="00721D42"/>
    <w:rsid w:val="00736F49"/>
    <w:rsid w:val="00740E77"/>
    <w:rsid w:val="00752E51"/>
    <w:rsid w:val="00757A07"/>
    <w:rsid w:val="00757CA9"/>
    <w:rsid w:val="00757E8A"/>
    <w:rsid w:val="00777894"/>
    <w:rsid w:val="00795CB6"/>
    <w:rsid w:val="00797CFD"/>
    <w:rsid w:val="00847280"/>
    <w:rsid w:val="008807E1"/>
    <w:rsid w:val="008931BC"/>
    <w:rsid w:val="0089704D"/>
    <w:rsid w:val="008A36DE"/>
    <w:rsid w:val="00902769"/>
    <w:rsid w:val="00982FF3"/>
    <w:rsid w:val="00983E2D"/>
    <w:rsid w:val="0099039C"/>
    <w:rsid w:val="009A56F4"/>
    <w:rsid w:val="009C47F7"/>
    <w:rsid w:val="009C5540"/>
    <w:rsid w:val="009D70DD"/>
    <w:rsid w:val="009E1EFF"/>
    <w:rsid w:val="00A20FF7"/>
    <w:rsid w:val="00A36637"/>
    <w:rsid w:val="00A443CD"/>
    <w:rsid w:val="00A673C1"/>
    <w:rsid w:val="00A7434C"/>
    <w:rsid w:val="00A835E2"/>
    <w:rsid w:val="00AB7FE5"/>
    <w:rsid w:val="00AC5BAD"/>
    <w:rsid w:val="00AD1DB6"/>
    <w:rsid w:val="00AD6EB0"/>
    <w:rsid w:val="00AE3C5B"/>
    <w:rsid w:val="00AE46AF"/>
    <w:rsid w:val="00B04625"/>
    <w:rsid w:val="00B25D16"/>
    <w:rsid w:val="00B475E0"/>
    <w:rsid w:val="00B74E70"/>
    <w:rsid w:val="00BA049C"/>
    <w:rsid w:val="00BF1BE2"/>
    <w:rsid w:val="00C07E7C"/>
    <w:rsid w:val="00C40664"/>
    <w:rsid w:val="00C8175F"/>
    <w:rsid w:val="00C94C42"/>
    <w:rsid w:val="00C955D5"/>
    <w:rsid w:val="00CC1DD8"/>
    <w:rsid w:val="00CD159E"/>
    <w:rsid w:val="00CE70BE"/>
    <w:rsid w:val="00D0246D"/>
    <w:rsid w:val="00D02A90"/>
    <w:rsid w:val="00D2492E"/>
    <w:rsid w:val="00D41F79"/>
    <w:rsid w:val="00D4433C"/>
    <w:rsid w:val="00D65646"/>
    <w:rsid w:val="00DA217B"/>
    <w:rsid w:val="00DB5C48"/>
    <w:rsid w:val="00DC6376"/>
    <w:rsid w:val="00DD2276"/>
    <w:rsid w:val="00DD33C4"/>
    <w:rsid w:val="00DE048B"/>
    <w:rsid w:val="00DE4D13"/>
    <w:rsid w:val="00DF69C1"/>
    <w:rsid w:val="00E21F90"/>
    <w:rsid w:val="00E27CDE"/>
    <w:rsid w:val="00E35916"/>
    <w:rsid w:val="00E4515D"/>
    <w:rsid w:val="00E47BDE"/>
    <w:rsid w:val="00E56B78"/>
    <w:rsid w:val="00EB2E05"/>
    <w:rsid w:val="00F05C66"/>
    <w:rsid w:val="00F40E7C"/>
    <w:rsid w:val="00F641C5"/>
    <w:rsid w:val="00F654B1"/>
    <w:rsid w:val="00FC24C9"/>
    <w:rsid w:val="00FD5D6A"/>
    <w:rsid w:val="10BD470B"/>
    <w:rsid w:val="10C87422"/>
    <w:rsid w:val="1AE53FF2"/>
    <w:rsid w:val="1D880D3C"/>
    <w:rsid w:val="219A69A3"/>
    <w:rsid w:val="2C1357A2"/>
    <w:rsid w:val="35822FEF"/>
    <w:rsid w:val="3F905EAA"/>
    <w:rsid w:val="40704C6F"/>
    <w:rsid w:val="4B171A02"/>
    <w:rsid w:val="58056C1D"/>
    <w:rsid w:val="5E64224E"/>
    <w:rsid w:val="5E7F1C29"/>
    <w:rsid w:val="5F8637E1"/>
    <w:rsid w:val="627E3797"/>
    <w:rsid w:val="633E0FC5"/>
    <w:rsid w:val="638D706C"/>
    <w:rsid w:val="6F3023A9"/>
    <w:rsid w:val="6F532063"/>
    <w:rsid w:val="7EE9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8CB0B-F753-4331-993B-B220B08C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6">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7">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CB048-5FAB-4F9D-AE78-A7FEC6A6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779</Characters>
  <Application>Microsoft Office Word</Application>
  <DocSecurity>0</DocSecurity>
  <Lines>6</Lines>
  <Paragraphs>1</Paragraphs>
  <ScaleCrop>false</ScaleCrop>
  <Company>Lenovo</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王大猫</dc:creator>
  <cp:lastModifiedBy>王玉珏</cp:lastModifiedBy>
  <cp:revision>52</cp:revision>
  <dcterms:created xsi:type="dcterms:W3CDTF">2016-10-12T03:18:00Z</dcterms:created>
  <dcterms:modified xsi:type="dcterms:W3CDTF">2018-09-20T02:06:00Z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