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885" w:rsidRDefault="005B4AA1">
      <w:pPr>
        <w:pStyle w:val="1"/>
        <w:spacing w:before="0" w:after="0" w:line="240" w:lineRule="auto"/>
        <w:jc w:val="center"/>
        <w:rPr>
          <w:sz w:val="36"/>
        </w:rPr>
      </w:pPr>
      <w:r>
        <w:rPr>
          <w:rFonts w:hint="eastAsia"/>
          <w:sz w:val="36"/>
        </w:rPr>
        <w:t>银华基金管理股份有限公司</w:t>
      </w:r>
    </w:p>
    <w:p w:rsidR="00503885" w:rsidRDefault="005B4AA1">
      <w:pPr>
        <w:pStyle w:val="1"/>
        <w:spacing w:before="0" w:after="0" w:line="240" w:lineRule="auto"/>
        <w:jc w:val="center"/>
        <w:rPr>
          <w:sz w:val="36"/>
        </w:rPr>
      </w:pPr>
      <w:r>
        <w:rPr>
          <w:rFonts w:hint="eastAsia"/>
          <w:sz w:val="36"/>
        </w:rPr>
        <w:t>关于以通讯方式召开银华惠</w:t>
      </w:r>
      <w:r>
        <w:rPr>
          <w:sz w:val="36"/>
        </w:rPr>
        <w:t>安</w:t>
      </w:r>
      <w:r>
        <w:rPr>
          <w:rFonts w:hint="eastAsia"/>
          <w:sz w:val="36"/>
        </w:rPr>
        <w:t>定期</w:t>
      </w:r>
      <w:r>
        <w:rPr>
          <w:sz w:val="36"/>
        </w:rPr>
        <w:t>开放</w:t>
      </w:r>
      <w:r>
        <w:rPr>
          <w:rFonts w:hint="eastAsia"/>
          <w:sz w:val="36"/>
        </w:rPr>
        <w:t>混合型证券投资基金基金份额持有人大会的</w:t>
      </w:r>
      <w:r w:rsidR="00DF7B2D">
        <w:rPr>
          <w:rFonts w:hint="eastAsia"/>
          <w:sz w:val="36"/>
        </w:rPr>
        <w:t>第二次</w:t>
      </w:r>
      <w:r>
        <w:rPr>
          <w:rFonts w:hint="eastAsia"/>
          <w:sz w:val="36"/>
        </w:rPr>
        <w:t>提示性公告</w:t>
      </w:r>
    </w:p>
    <w:p w:rsidR="00503885" w:rsidRDefault="00503885"/>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银华基金管理股份有限公司（以下简称“基金管理人”或“本公司”）已于201</w:t>
      </w:r>
      <w:r>
        <w:rPr>
          <w:rFonts w:asciiTheme="minorEastAsia" w:hAnsiTheme="minorEastAsia"/>
          <w:sz w:val="24"/>
          <w:szCs w:val="24"/>
        </w:rPr>
        <w:t>9</w:t>
      </w:r>
      <w:r>
        <w:rPr>
          <w:rFonts w:asciiTheme="minorEastAsia" w:hAnsiTheme="minorEastAsia" w:hint="eastAsia"/>
          <w:sz w:val="24"/>
          <w:szCs w:val="24"/>
        </w:rPr>
        <w:t>年</w:t>
      </w:r>
      <w:r>
        <w:rPr>
          <w:rFonts w:asciiTheme="minorEastAsia" w:hAnsiTheme="minorEastAsia"/>
          <w:sz w:val="24"/>
          <w:szCs w:val="24"/>
        </w:rPr>
        <w:t>3</w:t>
      </w:r>
      <w:r>
        <w:rPr>
          <w:rFonts w:asciiTheme="minorEastAsia" w:hAnsiTheme="minorEastAsia" w:hint="eastAsia"/>
          <w:sz w:val="24"/>
          <w:szCs w:val="24"/>
        </w:rPr>
        <w:t>月</w:t>
      </w:r>
      <w:r>
        <w:rPr>
          <w:rFonts w:asciiTheme="minorEastAsia" w:hAnsiTheme="minorEastAsia"/>
          <w:sz w:val="24"/>
          <w:szCs w:val="24"/>
        </w:rPr>
        <w:t>1</w:t>
      </w:r>
      <w:r>
        <w:rPr>
          <w:rFonts w:asciiTheme="minorEastAsia" w:hAnsiTheme="minorEastAsia" w:hint="eastAsia"/>
          <w:sz w:val="24"/>
          <w:szCs w:val="24"/>
        </w:rPr>
        <w:t>日在指定媒体及本公司网站（http://www.yhfund.com.cn）发布了《银华基金管理股份有限公司关于以通讯方式召开银华惠</w:t>
      </w:r>
      <w:r>
        <w:rPr>
          <w:rFonts w:asciiTheme="minorEastAsia" w:hAnsiTheme="minorEastAsia"/>
          <w:sz w:val="24"/>
          <w:szCs w:val="24"/>
        </w:rPr>
        <w:t>安定期开放混合</w:t>
      </w:r>
      <w:r>
        <w:rPr>
          <w:rFonts w:asciiTheme="minorEastAsia" w:hAnsiTheme="minorEastAsia" w:hint="eastAsia"/>
          <w:sz w:val="24"/>
          <w:szCs w:val="24"/>
        </w:rPr>
        <w:t>型证券投资基金基金份额持有人大会的公告》。为了使本次基金份额持有人大会顺利召开，现发布关于以通讯方式召开银华惠安定期开放</w:t>
      </w:r>
      <w:r>
        <w:rPr>
          <w:rFonts w:asciiTheme="minorEastAsia" w:hAnsiTheme="minorEastAsia"/>
          <w:sz w:val="24"/>
          <w:szCs w:val="24"/>
        </w:rPr>
        <w:t>混合型</w:t>
      </w:r>
      <w:r>
        <w:rPr>
          <w:rFonts w:asciiTheme="minorEastAsia" w:hAnsiTheme="minorEastAsia" w:hint="eastAsia"/>
          <w:sz w:val="24"/>
          <w:szCs w:val="24"/>
        </w:rPr>
        <w:t>证券投资基金基金份额持有人大会的</w:t>
      </w:r>
      <w:r w:rsidR="00DF7B2D">
        <w:rPr>
          <w:rFonts w:asciiTheme="minorEastAsia" w:hAnsiTheme="minorEastAsia" w:hint="eastAsia"/>
          <w:sz w:val="24"/>
          <w:szCs w:val="24"/>
        </w:rPr>
        <w:t>第二次</w:t>
      </w:r>
      <w:r>
        <w:rPr>
          <w:rFonts w:asciiTheme="minorEastAsia" w:hAnsiTheme="minorEastAsia" w:hint="eastAsia"/>
          <w:sz w:val="24"/>
          <w:szCs w:val="24"/>
        </w:rPr>
        <w:t>提示性公告。</w:t>
      </w:r>
    </w:p>
    <w:p w:rsidR="00B0299C" w:rsidRDefault="00B0299C" w:rsidP="00B0299C">
      <w:pPr>
        <w:pStyle w:val="2"/>
        <w:rPr>
          <w:sz w:val="24"/>
        </w:rPr>
      </w:pPr>
      <w:r>
        <w:rPr>
          <w:rFonts w:hint="eastAsia"/>
          <w:sz w:val="24"/>
        </w:rPr>
        <w:t>一、召开会议基本情况</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以下简称“《基金法》”）、《公开募集证券投资基金运作管理办法》和《银华惠安定期开放混合型证券投资基金基金合同》(以下简称“《基金合同》”)的有关规定，银华惠安定期开放混合型证券投资基金（基金</w:t>
      </w:r>
      <w:r>
        <w:rPr>
          <w:rFonts w:asciiTheme="minorEastAsia" w:hAnsiTheme="minorEastAsia"/>
          <w:sz w:val="24"/>
          <w:szCs w:val="24"/>
        </w:rPr>
        <w:t>代码：501033</w:t>
      </w:r>
      <w:r>
        <w:rPr>
          <w:rFonts w:asciiTheme="minorEastAsia" w:hAnsiTheme="minorEastAsia" w:hint="eastAsia"/>
          <w:sz w:val="24"/>
          <w:szCs w:val="24"/>
        </w:rPr>
        <w:t>，以下简称“本基金”）的基金管理人经与本基金的基金托管人中国银行股份有限公司协商一致，决定以通讯方式召开本基金的基金份额持有人大会（以下简称“大会”），会议的具体安排如下：</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1、会议召开方式：通讯方式。</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2、会议投票表决起止时间：自权益</w:t>
      </w:r>
      <w:r>
        <w:rPr>
          <w:rFonts w:asciiTheme="minorEastAsia" w:hAnsiTheme="minorEastAsia"/>
          <w:sz w:val="24"/>
          <w:szCs w:val="24"/>
        </w:rPr>
        <w:t>登记日即2019</w:t>
      </w:r>
      <w:r>
        <w:rPr>
          <w:rFonts w:asciiTheme="minorEastAsia" w:hAnsiTheme="minorEastAsia" w:hint="eastAsia"/>
          <w:sz w:val="24"/>
          <w:szCs w:val="24"/>
        </w:rPr>
        <w:t>年</w:t>
      </w:r>
      <w:r>
        <w:rPr>
          <w:rFonts w:asciiTheme="minorEastAsia" w:hAnsiTheme="minorEastAsia"/>
          <w:sz w:val="24"/>
          <w:szCs w:val="24"/>
        </w:rPr>
        <w:t>3</w:t>
      </w:r>
      <w:r>
        <w:rPr>
          <w:rFonts w:asciiTheme="minorEastAsia" w:hAnsiTheme="minorEastAsia" w:hint="eastAsia"/>
          <w:sz w:val="24"/>
          <w:szCs w:val="24"/>
        </w:rPr>
        <w:t>月</w:t>
      </w:r>
      <w:r>
        <w:rPr>
          <w:rFonts w:asciiTheme="minorEastAsia" w:hAnsiTheme="minorEastAsia"/>
          <w:sz w:val="24"/>
          <w:szCs w:val="24"/>
        </w:rPr>
        <w:t>8</w:t>
      </w:r>
      <w:r>
        <w:rPr>
          <w:rFonts w:asciiTheme="minorEastAsia" w:hAnsiTheme="minorEastAsia" w:hint="eastAsia"/>
          <w:sz w:val="24"/>
          <w:szCs w:val="24"/>
        </w:rPr>
        <w:t>日15:00起，至2019年</w:t>
      </w:r>
      <w:r>
        <w:rPr>
          <w:rFonts w:asciiTheme="minorEastAsia" w:hAnsiTheme="minorEastAsia"/>
          <w:sz w:val="24"/>
          <w:szCs w:val="24"/>
        </w:rPr>
        <w:t>4</w:t>
      </w:r>
      <w:r>
        <w:rPr>
          <w:rFonts w:asciiTheme="minorEastAsia" w:hAnsiTheme="minorEastAsia" w:hint="eastAsia"/>
          <w:sz w:val="24"/>
          <w:szCs w:val="24"/>
        </w:rPr>
        <w:t>月</w:t>
      </w:r>
      <w:r>
        <w:rPr>
          <w:rFonts w:asciiTheme="minorEastAsia" w:hAnsiTheme="minorEastAsia"/>
          <w:sz w:val="24"/>
          <w:szCs w:val="24"/>
        </w:rPr>
        <w:t>1</w:t>
      </w:r>
      <w:r>
        <w:rPr>
          <w:rFonts w:asciiTheme="minorEastAsia" w:hAnsiTheme="minorEastAsia" w:hint="eastAsia"/>
          <w:sz w:val="24"/>
          <w:szCs w:val="24"/>
        </w:rPr>
        <w:t>日17：00止。</w:t>
      </w:r>
    </w:p>
    <w:p w:rsidR="00B0299C" w:rsidRDefault="00B0299C" w:rsidP="00B0299C">
      <w:pPr>
        <w:pStyle w:val="2"/>
        <w:rPr>
          <w:sz w:val="24"/>
        </w:rPr>
      </w:pPr>
      <w:r>
        <w:rPr>
          <w:rFonts w:hint="eastAsia"/>
          <w:sz w:val="24"/>
        </w:rPr>
        <w:t>二、会议审议事项</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《关于终止银华惠安定期开放混合型证券投资基金基金合同有关事项的议案》（见附件一）。</w:t>
      </w:r>
    </w:p>
    <w:p w:rsidR="00B0299C" w:rsidRDefault="00B0299C" w:rsidP="00B0299C">
      <w:pPr>
        <w:pStyle w:val="2"/>
        <w:rPr>
          <w:rStyle w:val="2Char"/>
          <w:b/>
          <w:sz w:val="24"/>
        </w:rPr>
      </w:pPr>
      <w:r>
        <w:rPr>
          <w:rStyle w:val="2Char"/>
          <w:rFonts w:hint="eastAsia"/>
          <w:b/>
          <w:sz w:val="24"/>
        </w:rPr>
        <w:t>三、基金份额持有人的权益登记日</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本次大会的权益登记日为201</w:t>
      </w:r>
      <w:r>
        <w:rPr>
          <w:rFonts w:asciiTheme="minorEastAsia" w:hAnsiTheme="minorEastAsia"/>
          <w:sz w:val="24"/>
          <w:szCs w:val="24"/>
        </w:rPr>
        <w:t>9</w:t>
      </w:r>
      <w:r>
        <w:rPr>
          <w:rFonts w:asciiTheme="minorEastAsia" w:hAnsiTheme="minorEastAsia" w:hint="eastAsia"/>
          <w:sz w:val="24"/>
          <w:szCs w:val="24"/>
        </w:rPr>
        <w:t>年</w:t>
      </w:r>
      <w:r>
        <w:rPr>
          <w:rFonts w:asciiTheme="minorEastAsia" w:hAnsiTheme="minorEastAsia"/>
          <w:sz w:val="24"/>
          <w:szCs w:val="24"/>
        </w:rPr>
        <w:t>3</w:t>
      </w:r>
      <w:r>
        <w:rPr>
          <w:rFonts w:asciiTheme="minorEastAsia" w:hAnsiTheme="minorEastAsia" w:hint="eastAsia"/>
          <w:sz w:val="24"/>
          <w:szCs w:val="24"/>
        </w:rPr>
        <w:t>月</w:t>
      </w:r>
      <w:r>
        <w:rPr>
          <w:rFonts w:asciiTheme="minorEastAsia" w:hAnsiTheme="minorEastAsia"/>
          <w:sz w:val="24"/>
          <w:szCs w:val="24"/>
        </w:rPr>
        <w:t>8</w:t>
      </w:r>
      <w:r>
        <w:rPr>
          <w:rFonts w:asciiTheme="minorEastAsia" w:hAnsiTheme="minorEastAsia" w:hint="eastAsia"/>
          <w:sz w:val="24"/>
          <w:szCs w:val="24"/>
        </w:rPr>
        <w:t>日，即该日交易时间结束后在本基</w:t>
      </w:r>
      <w:r>
        <w:rPr>
          <w:rFonts w:asciiTheme="minorEastAsia" w:hAnsiTheme="minorEastAsia" w:hint="eastAsia"/>
          <w:sz w:val="24"/>
          <w:szCs w:val="24"/>
        </w:rPr>
        <w:lastRenderedPageBreak/>
        <w:t>金登记机构登记在册的本基金全体基金份额持有人或其授权的代理人均有权参加本次基金份额持有人大会并投票表决。</w:t>
      </w:r>
    </w:p>
    <w:p w:rsidR="00503885" w:rsidRDefault="005B4AA1">
      <w:pPr>
        <w:pStyle w:val="2"/>
        <w:rPr>
          <w:sz w:val="24"/>
        </w:rPr>
      </w:pPr>
      <w:r>
        <w:rPr>
          <w:rFonts w:hint="eastAsia"/>
          <w:sz w:val="24"/>
        </w:rPr>
        <w:t>四、</w:t>
      </w:r>
      <w:r w:rsidR="00F1595A">
        <w:rPr>
          <w:rFonts w:hint="eastAsia"/>
          <w:sz w:val="24"/>
        </w:rPr>
        <w:t>投票方式</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（一）纸质</w:t>
      </w:r>
      <w:r>
        <w:rPr>
          <w:rFonts w:asciiTheme="minorEastAsia" w:hAnsiTheme="minorEastAsia"/>
          <w:sz w:val="24"/>
          <w:szCs w:val="24"/>
        </w:rPr>
        <w:t>投票</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1、本次会议表决票见附件二。基金份额持有人可采取从相关报纸上剪裁、复印附件二或登录本基金管理人网站（http://www.yhfund.com.cn）下载并打印等方式填制表决票。</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2、基金份额持有人应当按照表决票的要求填写相关内容，其中：</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（1）个人投资者自行投票的，需在表决票上签字，并提供本人有效身份证明文件（包括使用的身份证或其他能够表明其身份且基金管理人认可的有效证件或证明）正反面复印件；</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机构投资者自行投票的，需在表决票上加盖本单位公章或经授权的业务公章或基金管理人认可的其他印章（以下合称“公章”），并提供加盖公章的企业法人营业执照复印件（事业单位、社会团体或其他单位可使用加盖公章的有权部门的批文、开户证明或登记证书复印件等）；合格境外机构投资者自行投票的，需在表决票上加盖本单位公章（如有）或由授权代表在表决票上签字（如无公章），并提供该授权代表的有效身份证明文件（包括使用的身份证或其他能够表明其身份且基金管理人认可的有效证件或证明）正反面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3、基金份额持有人或其代理人需将填妥的表决票和所需的相关文件自201</w:t>
      </w:r>
      <w:r>
        <w:rPr>
          <w:rFonts w:asciiTheme="minorEastAsia" w:hAnsiTheme="minorEastAsia"/>
          <w:sz w:val="24"/>
          <w:szCs w:val="24"/>
        </w:rPr>
        <w:t>9</w:t>
      </w:r>
      <w:r>
        <w:rPr>
          <w:rFonts w:asciiTheme="minorEastAsia" w:hAnsiTheme="minorEastAsia" w:hint="eastAsia"/>
          <w:sz w:val="24"/>
          <w:szCs w:val="24"/>
        </w:rPr>
        <w:t>年</w:t>
      </w:r>
      <w:r>
        <w:rPr>
          <w:rFonts w:asciiTheme="minorEastAsia" w:hAnsiTheme="minorEastAsia"/>
          <w:sz w:val="24"/>
          <w:szCs w:val="24"/>
        </w:rPr>
        <w:t>3</w:t>
      </w:r>
      <w:r>
        <w:rPr>
          <w:rFonts w:asciiTheme="minorEastAsia" w:hAnsiTheme="minorEastAsia" w:hint="eastAsia"/>
          <w:sz w:val="24"/>
          <w:szCs w:val="24"/>
        </w:rPr>
        <w:t>月</w:t>
      </w:r>
      <w:r>
        <w:rPr>
          <w:rFonts w:asciiTheme="minorEastAsia" w:hAnsiTheme="minorEastAsia"/>
          <w:sz w:val="24"/>
          <w:szCs w:val="24"/>
        </w:rPr>
        <w:t>8</w:t>
      </w:r>
      <w:r>
        <w:rPr>
          <w:rFonts w:asciiTheme="minorEastAsia" w:hAnsiTheme="minorEastAsia" w:hint="eastAsia"/>
          <w:sz w:val="24"/>
          <w:szCs w:val="24"/>
        </w:rPr>
        <w:t>日15:00起，至201</w:t>
      </w:r>
      <w:r>
        <w:rPr>
          <w:rFonts w:asciiTheme="minorEastAsia" w:hAnsiTheme="minorEastAsia"/>
          <w:sz w:val="24"/>
          <w:szCs w:val="24"/>
        </w:rPr>
        <w:t>9</w:t>
      </w:r>
      <w:r>
        <w:rPr>
          <w:rFonts w:asciiTheme="minorEastAsia" w:hAnsiTheme="minorEastAsia" w:hint="eastAsia"/>
          <w:sz w:val="24"/>
          <w:szCs w:val="24"/>
        </w:rPr>
        <w:t>年</w:t>
      </w:r>
      <w:r>
        <w:rPr>
          <w:rFonts w:asciiTheme="minorEastAsia" w:hAnsiTheme="minorEastAsia"/>
          <w:sz w:val="24"/>
          <w:szCs w:val="24"/>
        </w:rPr>
        <w:t>4</w:t>
      </w:r>
      <w:r>
        <w:rPr>
          <w:rFonts w:asciiTheme="minorEastAsia" w:hAnsiTheme="minorEastAsia" w:hint="eastAsia"/>
          <w:sz w:val="24"/>
          <w:szCs w:val="24"/>
        </w:rPr>
        <w:t>月</w:t>
      </w:r>
      <w:r>
        <w:rPr>
          <w:rFonts w:asciiTheme="minorEastAsia" w:hAnsiTheme="minorEastAsia"/>
          <w:sz w:val="24"/>
          <w:szCs w:val="24"/>
        </w:rPr>
        <w:t>1</w:t>
      </w:r>
      <w:r>
        <w:rPr>
          <w:rFonts w:asciiTheme="minorEastAsia" w:hAnsiTheme="minorEastAsia" w:hint="eastAsia"/>
          <w:sz w:val="24"/>
          <w:szCs w:val="24"/>
        </w:rPr>
        <w:t>日17：00以前（投票表决时间以本次大会召集人指定的表决票收件人收到表决票时间为准）通过专人送交或邮寄的方式送达至本次大会召集人指定的表决票收件人办公地址，并请在信封表面注明：“银华惠安定期开放混合型证券投资基金基金份额持有人大会表决专用”。</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本基金管理人指定的表决票收件人及其联系方式如下：</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公司名称：银华基金管理股份有限公司</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地址：北京市东城区东长安街1号东方广场C1座8层客户服务中心</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邮政编码：100738</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收件</w:t>
      </w:r>
      <w:r>
        <w:rPr>
          <w:rFonts w:asciiTheme="minorEastAsia" w:hAnsiTheme="minorEastAsia" w:hint="eastAsia"/>
          <w:sz w:val="24"/>
          <w:szCs w:val="24"/>
        </w:rPr>
        <w:t>人：雷洋</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联系电话：010-58163005</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（二）电话</w:t>
      </w:r>
      <w:r>
        <w:rPr>
          <w:rFonts w:asciiTheme="minorEastAsia" w:hAnsiTheme="minorEastAsia"/>
          <w:sz w:val="24"/>
          <w:szCs w:val="24"/>
        </w:rPr>
        <w:t>投票</w:t>
      </w:r>
    </w:p>
    <w:p w:rsidR="00B0299C" w:rsidRDefault="00B0299C" w:rsidP="00B0299C">
      <w:pPr>
        <w:adjustRightInd w:val="0"/>
        <w:snapToGrid w:val="0"/>
        <w:spacing w:line="360" w:lineRule="auto"/>
        <w:ind w:firstLineChars="200" w:firstLine="480"/>
        <w:rPr>
          <w:rFonts w:ascii="宋体" w:hAnsi="宋体"/>
          <w:sz w:val="24"/>
          <w:szCs w:val="24"/>
        </w:rPr>
      </w:pPr>
      <w:r>
        <w:rPr>
          <w:rFonts w:ascii="宋体" w:hAnsi="宋体" w:hint="eastAsia"/>
          <w:sz w:val="24"/>
          <w:szCs w:val="24"/>
        </w:rPr>
        <w:t>为方便基金份额持有人参与大会投票，自201</w:t>
      </w:r>
      <w:r>
        <w:rPr>
          <w:rFonts w:ascii="宋体" w:hAnsi="宋体"/>
          <w:sz w:val="24"/>
          <w:szCs w:val="24"/>
        </w:rPr>
        <w:t>9</w:t>
      </w:r>
      <w:r>
        <w:rPr>
          <w:rFonts w:ascii="宋体" w:hAnsi="宋体" w:hint="eastAsia"/>
          <w:sz w:val="24"/>
          <w:szCs w:val="24"/>
        </w:rPr>
        <w:t>年</w:t>
      </w:r>
      <w:r>
        <w:rPr>
          <w:rFonts w:ascii="宋体" w:hAnsi="宋体"/>
          <w:sz w:val="24"/>
          <w:szCs w:val="24"/>
        </w:rPr>
        <w:t>3</w:t>
      </w:r>
      <w:r>
        <w:rPr>
          <w:rFonts w:ascii="宋体" w:hAnsi="宋体" w:hint="eastAsia"/>
          <w:sz w:val="24"/>
          <w:szCs w:val="24"/>
        </w:rPr>
        <w:t>月</w:t>
      </w:r>
      <w:r>
        <w:rPr>
          <w:rFonts w:ascii="宋体" w:hAnsi="宋体"/>
          <w:sz w:val="24"/>
          <w:szCs w:val="24"/>
        </w:rPr>
        <w:t>8</w:t>
      </w:r>
      <w:r>
        <w:rPr>
          <w:rFonts w:ascii="宋体" w:hAnsi="宋体" w:hint="eastAsia"/>
          <w:sz w:val="24"/>
          <w:szCs w:val="24"/>
        </w:rPr>
        <w:t>日15:00起，至201</w:t>
      </w:r>
      <w:r>
        <w:rPr>
          <w:rFonts w:ascii="宋体" w:hAnsi="宋体"/>
          <w:sz w:val="24"/>
          <w:szCs w:val="24"/>
        </w:rPr>
        <w:t>9</w:t>
      </w:r>
      <w:r>
        <w:rPr>
          <w:rFonts w:ascii="宋体" w:hAnsi="宋体" w:hint="eastAsia"/>
          <w:sz w:val="24"/>
          <w:szCs w:val="24"/>
        </w:rPr>
        <w:t>年</w:t>
      </w:r>
      <w:r>
        <w:rPr>
          <w:rFonts w:ascii="宋体" w:hAnsi="宋体"/>
          <w:sz w:val="24"/>
          <w:szCs w:val="24"/>
        </w:rPr>
        <w:t>4</w:t>
      </w:r>
      <w:r>
        <w:rPr>
          <w:rFonts w:ascii="宋体" w:hAnsi="宋体" w:hint="eastAsia"/>
          <w:sz w:val="24"/>
          <w:szCs w:val="24"/>
        </w:rPr>
        <w:t>月</w:t>
      </w:r>
      <w:r>
        <w:rPr>
          <w:rFonts w:ascii="宋体" w:hAnsi="宋体"/>
          <w:sz w:val="24"/>
          <w:szCs w:val="24"/>
        </w:rPr>
        <w:t>1</w:t>
      </w:r>
      <w:r>
        <w:rPr>
          <w:rFonts w:ascii="宋体" w:hAnsi="宋体" w:hint="eastAsia"/>
          <w:sz w:val="24"/>
          <w:szCs w:val="24"/>
        </w:rPr>
        <w:t>日1</w:t>
      </w:r>
      <w:r>
        <w:rPr>
          <w:rFonts w:ascii="宋体" w:hAnsi="宋体"/>
          <w:sz w:val="24"/>
          <w:szCs w:val="24"/>
        </w:rPr>
        <w:t>7</w:t>
      </w:r>
      <w:r>
        <w:rPr>
          <w:rFonts w:ascii="宋体" w:hAnsi="宋体" w:hint="eastAsia"/>
          <w:sz w:val="24"/>
          <w:szCs w:val="24"/>
        </w:rPr>
        <w:t>:00以前的</w:t>
      </w:r>
      <w:r>
        <w:rPr>
          <w:rFonts w:ascii="宋体" w:hAnsi="宋体"/>
          <w:sz w:val="24"/>
          <w:szCs w:val="24"/>
        </w:rPr>
        <w:t>工作日</w:t>
      </w:r>
      <w:r>
        <w:rPr>
          <w:rFonts w:ascii="宋体" w:hAnsi="宋体" w:hint="eastAsia"/>
          <w:sz w:val="24"/>
          <w:szCs w:val="24"/>
        </w:rPr>
        <w:t>（以基金管理人指定系统记录时间为准），基金份额持有人可拨打本基金管理人客服电话（</w:t>
      </w:r>
      <w:r>
        <w:rPr>
          <w:rFonts w:ascii="宋体" w:hAnsi="宋体"/>
          <w:sz w:val="24"/>
          <w:szCs w:val="24"/>
        </w:rPr>
        <w:t>400-678-3333</w:t>
      </w:r>
      <w:r>
        <w:rPr>
          <w:rFonts w:ascii="宋体" w:hAnsi="宋体" w:hint="eastAsia"/>
          <w:sz w:val="24"/>
          <w:szCs w:val="24"/>
        </w:rPr>
        <w:t>）并按提示转人工坐席参与本次持有人大会的投票。本基金管理人也将主动与预留联系方式的基金份额持有人取得联系。通话过程中将以回答提问方式核实基金份额持有人身份，身份核实后由人工坐席根据客户意愿进行投票记录从而完成持有人大会的投票。为保护基金份额持有人利益，整个通话过程将被录音。</w:t>
      </w:r>
    </w:p>
    <w:p w:rsidR="00B0299C" w:rsidRDefault="00B0299C" w:rsidP="00B0299C">
      <w:pPr>
        <w:adjustRightInd w:val="0"/>
        <w:snapToGrid w:val="0"/>
        <w:spacing w:line="360" w:lineRule="auto"/>
        <w:ind w:firstLineChars="200" w:firstLine="480"/>
        <w:rPr>
          <w:rFonts w:ascii="宋体" w:hAnsi="宋体"/>
          <w:sz w:val="24"/>
          <w:szCs w:val="24"/>
        </w:rPr>
      </w:pPr>
      <w:r>
        <w:rPr>
          <w:rFonts w:ascii="宋体" w:hAnsi="宋体" w:hint="eastAsia"/>
          <w:sz w:val="24"/>
          <w:szCs w:val="24"/>
        </w:rPr>
        <w:t>基金份额持有人通过电话表决的方式仅适用于个人投资者，对机构投资者暂不开通。</w:t>
      </w:r>
    </w:p>
    <w:p w:rsidR="00503885" w:rsidRDefault="005B4AA1">
      <w:pPr>
        <w:pStyle w:val="2"/>
        <w:rPr>
          <w:rFonts w:ascii="宋体" w:hAnsi="宋体"/>
          <w:sz w:val="24"/>
          <w:szCs w:val="24"/>
        </w:rPr>
      </w:pPr>
      <w:r>
        <w:rPr>
          <w:rFonts w:hint="eastAsia"/>
          <w:sz w:val="24"/>
        </w:rPr>
        <w:t>五、授权</w:t>
      </w:r>
    </w:p>
    <w:p w:rsidR="00B0299C" w:rsidRDefault="00B0299C" w:rsidP="00B0299C">
      <w:pPr>
        <w:spacing w:line="360" w:lineRule="auto"/>
        <w:ind w:firstLineChars="200" w:firstLine="480"/>
        <w:jc w:val="left"/>
        <w:rPr>
          <w:rFonts w:ascii="宋体" w:hAnsi="宋体"/>
          <w:sz w:val="24"/>
          <w:szCs w:val="24"/>
        </w:rPr>
      </w:pPr>
      <w:r>
        <w:rPr>
          <w:rFonts w:ascii="宋体" w:hAnsi="宋体" w:hint="eastAsia"/>
          <w:sz w:val="24"/>
          <w:szCs w:val="24"/>
        </w:rPr>
        <w:t>为便于基金份额持有人在本次大会上充分表达其意愿，基金份额持有人除可以在投票期间自行投票外，还可以授权他人代其在基金份额持有人大会上投票。根据法律法规的规定及《基金合同》的约定，基金份额持有人授权他人在基金份额持有人大会上表决需符合以下规则：</w:t>
      </w:r>
    </w:p>
    <w:p w:rsidR="00B0299C" w:rsidRDefault="00B0299C" w:rsidP="00B0299C">
      <w:pPr>
        <w:spacing w:line="360" w:lineRule="auto"/>
        <w:ind w:firstLineChars="200" w:firstLine="480"/>
        <w:jc w:val="left"/>
        <w:rPr>
          <w:rFonts w:ascii="宋体" w:hAnsi="宋体"/>
          <w:sz w:val="24"/>
          <w:szCs w:val="24"/>
        </w:rPr>
      </w:pPr>
      <w:r>
        <w:rPr>
          <w:rFonts w:ascii="宋体" w:hAnsi="宋体" w:hint="eastAsia"/>
          <w:sz w:val="24"/>
          <w:szCs w:val="24"/>
        </w:rPr>
        <w:t>（一）委托人</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本基金的基金份额持有人自本公告发布之日起可委托他人代理行使本次基金份额持有人大会的表决权。基金份额持有人授权他人行使表决权的票数按该基金份额持有人在权益登记日所持有的基金份额数计算，一份基金份额代表一票表决权。</w:t>
      </w:r>
    </w:p>
    <w:p w:rsidR="00B0299C" w:rsidRDefault="00B0299C" w:rsidP="00B0299C">
      <w:pPr>
        <w:spacing w:line="360" w:lineRule="auto"/>
        <w:ind w:firstLine="420"/>
        <w:jc w:val="left"/>
        <w:rPr>
          <w:rFonts w:ascii="宋体" w:hAnsi="宋体"/>
          <w:sz w:val="24"/>
          <w:szCs w:val="24"/>
        </w:rPr>
      </w:pPr>
      <w:r>
        <w:rPr>
          <w:rFonts w:asciiTheme="minorEastAsia" w:hAnsiTheme="minorEastAsia" w:hint="eastAsia"/>
          <w:sz w:val="24"/>
          <w:szCs w:val="24"/>
        </w:rPr>
        <w:t>个人投资者委托他人投票的，应由代理人在表决票上签字或盖章，并提供被代理的个人投资者有效身份证明文件（包括使用的身份证或其他能够表明其身份且基金管理人认可的有效证件或证明）正反面复印件，以及填妥的授权委托书原</w:t>
      </w:r>
      <w:r>
        <w:rPr>
          <w:rFonts w:asciiTheme="minorEastAsia" w:hAnsiTheme="minorEastAsia" w:hint="eastAsia"/>
          <w:sz w:val="24"/>
          <w:szCs w:val="24"/>
        </w:rPr>
        <w:lastRenderedPageBreak/>
        <w:t>件（可参照附件三）。如代理人为个人，还需提供代理人的有效身份证明文件（包括使用的身份证或其他能够表明其身份且基金管理人认可的有效证件或证明）正反面复印件；如代理人为机构，还需提供代理人的加盖公章的企业法人营业执照复印件（事业单位、社会团体或其他单位可使用加盖公章的有权部门的批文、开户证明或登记证书复印件等）</w:t>
      </w:r>
      <w:r>
        <w:rPr>
          <w:rFonts w:ascii="宋体" w:hAnsi="宋体" w:hint="eastAsia"/>
          <w:sz w:val="24"/>
          <w:szCs w:val="24"/>
        </w:rPr>
        <w:t>。</w:t>
      </w:r>
    </w:p>
    <w:p w:rsidR="00B0299C" w:rsidRDefault="00B0299C" w:rsidP="00B0299C">
      <w:pPr>
        <w:spacing w:line="360" w:lineRule="auto"/>
        <w:ind w:firstLine="420"/>
        <w:jc w:val="left"/>
        <w:rPr>
          <w:rFonts w:ascii="宋体" w:hAnsi="宋体"/>
          <w:sz w:val="24"/>
          <w:szCs w:val="24"/>
        </w:rPr>
      </w:pPr>
      <w:r>
        <w:rPr>
          <w:rFonts w:asciiTheme="minorEastAsia" w:hAnsiTheme="minorEastAsia" w:hint="eastAsia"/>
          <w:sz w:val="24"/>
          <w:szCs w:val="24"/>
        </w:rPr>
        <w:t>机构投资者委托他人投票的，应由代理人在表决票上签字或盖章，并提供机构投资者的加盖公章的企业法人营业执照复印件（事业单位、社会团体或其他单位可使用加盖公章的有权部门的批文、开户证明或登记证书复印件等），以及填妥的授权委托书原件（可参照附件三）。如代理人为个人，还需提供代理人的有效身份证明文件（包括使用的身份证或其他能够表明其身份且基金管理人认可的有效证件或证明）正反面复印件；如代理人为机构，还需提供代理人的加盖公章的企业法人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可参照附件三）。如代理人为个人，还需提供代理人的有效身份证明文件（包括使用的身份证或其他能够表明其身份且基金管理人认可的有效证件或证明）正反面复印件；如代理人为机构，还需提供代理人的加盖公章的企业法人营业执照复印件（事业单位、社会团体或其他单位可使用加盖公章的有权部门的批文、开户证明或登记证书复印件等）</w:t>
      </w:r>
      <w:r>
        <w:rPr>
          <w:rFonts w:ascii="宋体" w:hAnsi="宋体" w:hint="eastAsia"/>
          <w:sz w:val="24"/>
          <w:szCs w:val="24"/>
        </w:rPr>
        <w:t>。</w:t>
      </w:r>
    </w:p>
    <w:p w:rsidR="00B0299C" w:rsidRDefault="00B0299C" w:rsidP="00B0299C">
      <w:pPr>
        <w:adjustRightInd w:val="0"/>
        <w:snapToGrid w:val="0"/>
        <w:spacing w:line="360" w:lineRule="auto"/>
        <w:ind w:firstLineChars="200" w:firstLine="480"/>
        <w:rPr>
          <w:rFonts w:ascii="宋体" w:hAnsi="宋体"/>
          <w:sz w:val="24"/>
          <w:szCs w:val="24"/>
        </w:rPr>
      </w:pPr>
      <w:r>
        <w:rPr>
          <w:rFonts w:asciiTheme="minorEastAsia" w:hAnsiTheme="minorEastAsia" w:hint="eastAsia"/>
          <w:sz w:val="24"/>
          <w:szCs w:val="24"/>
        </w:rPr>
        <w:t>以上各项中的公章、批文、开户证明及登记证书，以基金管理人认可的为准。</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（二）受托人</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基金份额持有人可以委托本基金的基金管理人、基金托管人、代销机构以及其他符合法律规定的机构和个人，代为行使本次基金份额持有人大会上的表决权。</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受托人为个人的，还需提供受托人的身份证明文件复印件；受托人为机构的，还需提供该受托人加盖公章的企业法人营业执照复印件（事业单位、社会团体或其他单位可使用加盖公章的事业单位法人登记证书、有权部门的批文、开户证明或登记证书复印件等）。如受托人为基金管理人、基金托管人或代销机构的，无</w:t>
      </w:r>
      <w:r>
        <w:rPr>
          <w:rFonts w:ascii="宋体" w:hAnsi="宋体" w:hint="eastAsia"/>
          <w:sz w:val="24"/>
          <w:szCs w:val="24"/>
        </w:rPr>
        <w:lastRenderedPageBreak/>
        <w:t>需提供受托人的企业法人营业执照复印件。</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（三）授权方式</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1、纸面授权</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本基金的基金份额持有人可通过法律法规认可的授权方式授权受托人代为行使表决权。基金份额持有人通过纸面方式授权的，授权委托书的样本请见本公告附件三。基金份额持有人可通过剪报、复印或登录银华基金网站下载等方式获取授权委托书样本。</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2、电话授权</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为方便基金份额持有人参与大会投票，投票期间持有人可以通过电话授权的方式授权基金管理人代为投票。（1）基金管理人在客服电话上增设持有人专用通道，基金份额持有人可拨打本基金管理人客服电话（</w:t>
      </w:r>
      <w:r>
        <w:rPr>
          <w:rFonts w:ascii="宋体" w:hAnsi="宋体"/>
          <w:sz w:val="24"/>
          <w:szCs w:val="24"/>
        </w:rPr>
        <w:t>400-678-3333</w:t>
      </w:r>
      <w:r>
        <w:rPr>
          <w:rFonts w:ascii="宋体" w:hAnsi="宋体" w:hint="eastAsia"/>
          <w:sz w:val="24"/>
          <w:szCs w:val="24"/>
        </w:rPr>
        <w:t>）并按提示转人工服务，客服人员核对客户身份后进行授权记录从而完成授权。（2）基金管理人的呼叫中心也将主动与基金份额持有人取得联系，在通话过程中以回答提问方式核实持有人身份后，由人工坐席根据客户意愿进行授权记录从而完成授权。上述通话过程将被录音，电话授权方式仅适用于个人投资者，不适用于机构投资者。</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3、授权效力确定规则</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1）如果同一基金份额存在包括有效纸面方式授权和其他非纸面方式有效授权的，以有效的纸面授权为准。多次以有效纸面方式授权的，以最后一次纸面授权为准。不能确定最后一次纸面授权的，如最后时间收到的授权委托有多次，以表示具体表决意见的纸面授权为准；最后时间收到的多次纸面授权均未表示具体表决意见的，若授权表示一致，以一致的授权表示为准；若授权表示不一致，视为委托人授权受托人选择其中一种授权表示行使表决权；</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（2）如果同一基金份额在只存在有效纸面方式授权时，委托人签署的授权委托书没有表示具体表决意见的，视为委托人授权受托人按照受托人意志行使表决权；</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（3）如果同一基金份额无有效纸面方式授权，但存在有效的其他非纸面方式授权的，以有效的其他非纸面方式的授权为准；</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（4）如果同一基金份额以非纸面方式进行多次授权的，以时间在最后的授权为准。如最后时间收到的授权委托有多项，以表示具体表决意见的授权为准；</w:t>
      </w:r>
      <w:r>
        <w:rPr>
          <w:rFonts w:ascii="宋体" w:hAnsi="宋体" w:hint="eastAsia"/>
          <w:sz w:val="24"/>
          <w:szCs w:val="24"/>
        </w:rPr>
        <w:lastRenderedPageBreak/>
        <w:t>最后时间收到的多次授权其授权表示一致的，以一致的授权表示为准；若授权表示不一致，视为委托人授权受托人选择其中一种授权表示行使表决权；</w:t>
      </w:r>
    </w:p>
    <w:p w:rsidR="00B0299C" w:rsidRDefault="00B0299C" w:rsidP="00B0299C">
      <w:pPr>
        <w:spacing w:line="360" w:lineRule="auto"/>
        <w:ind w:firstLine="420"/>
        <w:jc w:val="left"/>
        <w:rPr>
          <w:rFonts w:ascii="宋体" w:hAnsi="宋体"/>
          <w:sz w:val="24"/>
          <w:szCs w:val="24"/>
        </w:rPr>
      </w:pPr>
      <w:r>
        <w:rPr>
          <w:rFonts w:ascii="宋体" w:hAnsi="宋体" w:hint="eastAsia"/>
          <w:sz w:val="24"/>
          <w:szCs w:val="24"/>
        </w:rPr>
        <w:t>（5）如委托人未在授权委托表示中明确其表决意见的，视为委托人授权受托人按照受托人的意志行使表决权；如委托人在授权委托表示中表达多种表决意见的，视为委托人授权受托人选择其中一种授权表示行使表决权。</w:t>
      </w:r>
    </w:p>
    <w:p w:rsidR="00503885" w:rsidRDefault="005B4AA1">
      <w:pPr>
        <w:pStyle w:val="2"/>
        <w:rPr>
          <w:sz w:val="24"/>
        </w:rPr>
      </w:pPr>
      <w:r>
        <w:rPr>
          <w:rFonts w:hint="eastAsia"/>
          <w:sz w:val="24"/>
        </w:rPr>
        <w:t>六、计票</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1、本次通讯会议的计票</w:t>
      </w:r>
      <w:r>
        <w:rPr>
          <w:rFonts w:asciiTheme="minorEastAsia" w:hAnsiTheme="minorEastAsia"/>
          <w:sz w:val="24"/>
          <w:szCs w:val="24"/>
        </w:rPr>
        <w:t>时间为2019</w:t>
      </w:r>
      <w:r>
        <w:rPr>
          <w:rFonts w:asciiTheme="minorEastAsia" w:hAnsiTheme="minorEastAsia" w:hint="eastAsia"/>
          <w:sz w:val="24"/>
          <w:szCs w:val="24"/>
        </w:rPr>
        <w:t>年</w:t>
      </w:r>
      <w:r>
        <w:rPr>
          <w:rFonts w:asciiTheme="minorEastAsia" w:hAnsiTheme="minorEastAsia"/>
          <w:sz w:val="24"/>
          <w:szCs w:val="24"/>
        </w:rPr>
        <w:t>4</w:t>
      </w:r>
      <w:r>
        <w:rPr>
          <w:rFonts w:asciiTheme="minorEastAsia" w:hAnsiTheme="minorEastAsia" w:hint="eastAsia"/>
          <w:sz w:val="24"/>
          <w:szCs w:val="24"/>
        </w:rPr>
        <w:t>月</w:t>
      </w:r>
      <w:r>
        <w:rPr>
          <w:rFonts w:asciiTheme="minorEastAsia" w:hAnsiTheme="minorEastAsia"/>
          <w:sz w:val="24"/>
          <w:szCs w:val="24"/>
        </w:rPr>
        <w:t>2</w:t>
      </w:r>
      <w:r>
        <w:rPr>
          <w:rFonts w:asciiTheme="minorEastAsia" w:hAnsiTheme="minorEastAsia" w:hint="eastAsia"/>
          <w:sz w:val="24"/>
          <w:szCs w:val="24"/>
        </w:rPr>
        <w:t>日</w:t>
      </w:r>
      <w:r>
        <w:rPr>
          <w:rFonts w:asciiTheme="minorEastAsia" w:hAnsiTheme="minorEastAsia"/>
          <w:sz w:val="24"/>
          <w:szCs w:val="24"/>
        </w:rPr>
        <w:t>，</w:t>
      </w:r>
      <w:r>
        <w:rPr>
          <w:rFonts w:asciiTheme="minorEastAsia" w:hAnsiTheme="minorEastAsia" w:hint="eastAsia"/>
          <w:sz w:val="24"/>
          <w:szCs w:val="24"/>
        </w:rPr>
        <w:t>计票方式为：由本基金管理人授权的两名</w:t>
      </w:r>
      <w:r>
        <w:rPr>
          <w:rFonts w:asciiTheme="minorEastAsia" w:hAnsiTheme="minorEastAsia" w:hint="eastAsia"/>
          <w:bCs/>
          <w:sz w:val="24"/>
          <w:szCs w:val="24"/>
        </w:rPr>
        <w:t>监督员</w:t>
      </w:r>
      <w:r>
        <w:rPr>
          <w:rFonts w:asciiTheme="minorEastAsia" w:hAnsiTheme="minorEastAsia" w:hint="eastAsia"/>
          <w:sz w:val="24"/>
          <w:szCs w:val="24"/>
        </w:rPr>
        <w:t>在基金托管人（中国银行股份有限公司）授权代表的监督下进行计票，并由公证机关对其计票过程及结果予以公证。</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2、基金份额持有人大会由基金份额持有人组成，基金份额持有人的合法授权代表有权代表基金份额持有人出席会议并表决。基金份额持有人所持</w:t>
      </w:r>
      <w:r>
        <w:rPr>
          <w:rFonts w:asciiTheme="minorEastAsia" w:hAnsiTheme="minorEastAsia"/>
          <w:sz w:val="24"/>
          <w:szCs w:val="24"/>
        </w:rPr>
        <w:t>每</w:t>
      </w:r>
      <w:r>
        <w:rPr>
          <w:rFonts w:asciiTheme="minorEastAsia" w:hAnsiTheme="minorEastAsia" w:hint="eastAsia"/>
          <w:sz w:val="24"/>
          <w:szCs w:val="24"/>
        </w:rPr>
        <w:t>一基金份额拥有平等的表决权，所持每份基金份额享有一票表决权。</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如果同一基金份额存在包括有效纸面方式表决和其他非纸面方式有效表决的，以有效的纸面表决为准。</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4</w:t>
      </w:r>
      <w:r>
        <w:rPr>
          <w:rFonts w:asciiTheme="minorEastAsia" w:hAnsiTheme="minorEastAsia" w:hint="eastAsia"/>
          <w:sz w:val="24"/>
          <w:szCs w:val="24"/>
        </w:rPr>
        <w:t>、表决票效力的认定如下：</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如表决票上的表决意见未选、多选、无法辨认、表决意见空白、字迹模糊不清、相互矛盾或意愿无法判断，但其他各项符合会议通知规定的，视为弃权表决，计入有效表决票；并按“弃权”计入对应的表决结果，其所代表的基金份额计入参加本次基金份额持有人大会表决的基金份额总数。</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（4）基金份额持有人重复提交表决票的，如各表决票表决意见相同，则视为同一表决票；如各表决票表决意见不相同，则按如下原则处理：</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①送达时间不是同一天的，以最后送达的填写有效的表决票为准，先送达的表决票视为被撤回；</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②送达时间为同一天的，如果能判断收到时间先后的，以最后送达的填写有效的表决票为准，先送达的表决票视为被撤回；若无法判断收到时间先后的，则视为在同一表决票上做出了不同表决意见，计入弃权表决票；</w:t>
      </w:r>
    </w:p>
    <w:p w:rsidR="00B0299C" w:rsidRDefault="00B0299C" w:rsidP="00B0299C">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③送达时间按如下原则确定：专人送达的以实际递交时间为准，邮寄的以基金管理人收到的时间为准。</w:t>
      </w:r>
    </w:p>
    <w:p w:rsidR="00503885" w:rsidRDefault="005B4AA1">
      <w:pPr>
        <w:pStyle w:val="2"/>
        <w:rPr>
          <w:sz w:val="24"/>
        </w:rPr>
      </w:pPr>
      <w:r>
        <w:rPr>
          <w:rFonts w:hint="eastAsia"/>
          <w:sz w:val="24"/>
        </w:rPr>
        <w:t>七、决议生效条件</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hint="eastAsia"/>
          <w:bCs/>
          <w:sz w:val="24"/>
        </w:rPr>
        <w:t>本人直接出具表决意见或授权他人代表出具表决意见的，基金份额持有人所持有的基金份额不小于在权益登记日基金总份额的二分之一（含二分之一）</w:t>
      </w:r>
      <w:r>
        <w:rPr>
          <w:rFonts w:asciiTheme="minorEastAsia" w:hAnsiTheme="minorEastAsia" w:hint="eastAsia"/>
          <w:sz w:val="24"/>
          <w:szCs w:val="24"/>
        </w:rPr>
        <w:t>；</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2、《关于终止银华惠安定期开放混合型证券投资基金基金合同有关事项的议案》应当由提交有效表决票的基金份额持有人或其代理人所持表决权的三分之二以上（含三分之二）通过方为有效；</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基金份额持有人大会的决议，召集人应当自通过之日起5日内报中国证监会备案。基金份额持有人大会的决议自表决通过之日起生效。基金份额持有人大会决议自生效之日起依照《证券投资基金信息披露管理办法》的有关规定在指定媒介上公告。法律法规另有规定的，从其规定。</w:t>
      </w:r>
    </w:p>
    <w:p w:rsidR="00503885" w:rsidRDefault="005B4AA1">
      <w:pPr>
        <w:pStyle w:val="2"/>
        <w:rPr>
          <w:sz w:val="24"/>
        </w:rPr>
      </w:pPr>
      <w:r>
        <w:rPr>
          <w:rFonts w:hint="eastAsia"/>
          <w:sz w:val="24"/>
        </w:rPr>
        <w:t>八、二次召集基金份额持有人大会及二次授权</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基金法》及《基金合同》的规定，本次持有人大会需要本人直接出具表决意见或授权他人代表出具表决意见的，基金份额持有人所持有的基金份额达到权益登记日基金总份额的二分之一以上（含二分之一）方可举行。如果本次基金份额持有人大会不符合前述要求而不能成功召开，根据《基金法》的规定和《基金合同》的约定，本基金管理人可在规定时间内就同一议案重新召集基金份额持有人大会。</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w:t>
      </w:r>
      <w:r>
        <w:rPr>
          <w:rFonts w:asciiTheme="minorEastAsia" w:hAnsiTheme="minorEastAsia" w:hint="eastAsia"/>
          <w:sz w:val="24"/>
          <w:szCs w:val="24"/>
        </w:rPr>
        <w:lastRenderedPageBreak/>
        <w:t>说明见基金管理人届时发布的重新召集基金份额持有人大会的通知。</w:t>
      </w:r>
    </w:p>
    <w:p w:rsidR="00503885" w:rsidRDefault="005B4AA1">
      <w:pPr>
        <w:pStyle w:val="2"/>
        <w:rPr>
          <w:sz w:val="24"/>
        </w:rPr>
      </w:pPr>
      <w:r>
        <w:rPr>
          <w:rFonts w:hint="eastAsia"/>
          <w:sz w:val="24"/>
        </w:rPr>
        <w:t>九、本次大会相关机构</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1、召集人：银华基金管理股份有限公司</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联系人：董恩</w:t>
      </w:r>
      <w:r>
        <w:rPr>
          <w:rFonts w:asciiTheme="minorEastAsia" w:hAnsiTheme="minorEastAsia"/>
          <w:sz w:val="24"/>
          <w:szCs w:val="24"/>
        </w:rPr>
        <w:t>彤</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w:t>
      </w:r>
      <w:r>
        <w:rPr>
          <w:rFonts w:asciiTheme="minorEastAsia" w:hAnsiTheme="minorEastAsia"/>
          <w:sz w:val="24"/>
          <w:szCs w:val="24"/>
        </w:rPr>
        <w:t>400－678－3333</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网址：http://www.yhfund.com.cn</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2、监督人：中国银行股份有限公司</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3、公证机构：北京市方圆公证处</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联系人：赵蓉</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联系电话：010-851975</w:t>
      </w:r>
      <w:r>
        <w:rPr>
          <w:rFonts w:asciiTheme="minorEastAsia" w:hAnsiTheme="minorEastAsia"/>
          <w:sz w:val="24"/>
          <w:szCs w:val="24"/>
        </w:rPr>
        <w:t>06</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4、见证律师事务所：上海市通力律师事务所</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联系</w:t>
      </w:r>
      <w:r>
        <w:rPr>
          <w:rFonts w:asciiTheme="minorEastAsia" w:hAnsiTheme="minorEastAsia"/>
          <w:sz w:val="24"/>
          <w:szCs w:val="24"/>
        </w:rPr>
        <w:t>电话：</w:t>
      </w:r>
      <w:r>
        <w:rPr>
          <w:rFonts w:asciiTheme="minorEastAsia" w:hAnsiTheme="minorEastAsia" w:hint="eastAsia"/>
          <w:sz w:val="24"/>
          <w:szCs w:val="24"/>
        </w:rPr>
        <w:t>021-31358666</w:t>
      </w:r>
    </w:p>
    <w:p w:rsidR="00503885" w:rsidRDefault="005B4AA1">
      <w:pPr>
        <w:pStyle w:val="2"/>
        <w:rPr>
          <w:sz w:val="24"/>
        </w:rPr>
      </w:pPr>
      <w:r>
        <w:rPr>
          <w:rFonts w:hint="eastAsia"/>
          <w:sz w:val="24"/>
        </w:rPr>
        <w:t>十、重要提示</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1、请基金份额持有人在提交表决票时，充分考虑邮寄在途时间，确保表决票于表决截止时间前送达。</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2、本次基金份额持有人大会有关公告可通过本基金管理人网站查阅，投资者如有任何疑问，可致电本基金管理人客户服务电话400－678－3333咨询。</w:t>
      </w:r>
    </w:p>
    <w:p w:rsidR="00503885" w:rsidRDefault="005B4AA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、本通知的有关内容由银华基金管理股份有限公司负责解释。</w:t>
      </w:r>
    </w:p>
    <w:p w:rsidR="00503885" w:rsidRDefault="00503885">
      <w:pPr>
        <w:spacing w:line="360" w:lineRule="auto"/>
        <w:ind w:firstLineChars="236" w:firstLine="566"/>
        <w:rPr>
          <w:rFonts w:asciiTheme="minorEastAsia" w:hAnsiTheme="minorEastAsia"/>
          <w:sz w:val="24"/>
          <w:szCs w:val="24"/>
        </w:rPr>
      </w:pPr>
    </w:p>
    <w:p w:rsidR="00503885" w:rsidRDefault="00503885">
      <w:pPr>
        <w:spacing w:line="360" w:lineRule="auto"/>
        <w:ind w:firstLineChars="236" w:firstLine="566"/>
        <w:jc w:val="right"/>
        <w:rPr>
          <w:rFonts w:asciiTheme="minorEastAsia" w:hAnsiTheme="minorEastAsia"/>
          <w:sz w:val="24"/>
          <w:szCs w:val="24"/>
        </w:rPr>
      </w:pPr>
    </w:p>
    <w:p w:rsidR="00503885" w:rsidRDefault="005B4AA1">
      <w:pPr>
        <w:spacing w:line="360" w:lineRule="auto"/>
        <w:ind w:firstLineChars="236" w:firstLine="566"/>
        <w:jc w:val="right"/>
        <w:rPr>
          <w:rFonts w:asciiTheme="minorEastAsia" w:hAnsiTheme="minorEastAsia"/>
          <w:sz w:val="24"/>
          <w:szCs w:val="24"/>
        </w:rPr>
      </w:pPr>
      <w:r>
        <w:rPr>
          <w:rFonts w:asciiTheme="minorEastAsia" w:hAnsiTheme="minorEastAsia" w:hint="eastAsia"/>
          <w:sz w:val="24"/>
          <w:szCs w:val="24"/>
        </w:rPr>
        <w:t>银华基金管理股份有限公司</w:t>
      </w:r>
    </w:p>
    <w:p w:rsidR="00503885" w:rsidRDefault="00DF7B2D" w:rsidP="00DF7B2D">
      <w:pPr>
        <w:spacing w:line="360" w:lineRule="auto"/>
        <w:ind w:firstLineChars="236" w:firstLine="566"/>
        <w:jc w:val="right"/>
        <w:rPr>
          <w:rFonts w:asciiTheme="minorEastAsia" w:hAnsiTheme="minorEastAsia"/>
          <w:sz w:val="24"/>
          <w:szCs w:val="24"/>
        </w:rPr>
      </w:pPr>
      <w:r>
        <w:rPr>
          <w:rFonts w:asciiTheme="minorEastAsia" w:hAnsiTheme="minorEastAsia" w:hint="eastAsia"/>
          <w:sz w:val="24"/>
          <w:szCs w:val="24"/>
        </w:rPr>
        <w:t>201</w:t>
      </w:r>
      <w:r>
        <w:rPr>
          <w:rFonts w:asciiTheme="minorEastAsia" w:hAnsiTheme="minorEastAsia"/>
          <w:sz w:val="24"/>
          <w:szCs w:val="24"/>
        </w:rPr>
        <w:t>9</w:t>
      </w:r>
      <w:r>
        <w:rPr>
          <w:rFonts w:asciiTheme="minorEastAsia" w:hAnsiTheme="minorEastAsia" w:hint="eastAsia"/>
          <w:sz w:val="24"/>
          <w:szCs w:val="24"/>
        </w:rPr>
        <w:t>年</w:t>
      </w:r>
      <w:r>
        <w:rPr>
          <w:rFonts w:asciiTheme="minorEastAsia" w:hAnsiTheme="minorEastAsia"/>
          <w:sz w:val="24"/>
          <w:szCs w:val="24"/>
        </w:rPr>
        <w:t>3</w:t>
      </w:r>
      <w:r>
        <w:rPr>
          <w:rFonts w:asciiTheme="minorEastAsia" w:hAnsiTheme="minorEastAsia" w:hint="eastAsia"/>
          <w:sz w:val="24"/>
          <w:szCs w:val="24"/>
        </w:rPr>
        <w:t>月</w:t>
      </w:r>
      <w:r>
        <w:rPr>
          <w:rFonts w:asciiTheme="minorEastAsia" w:hAnsiTheme="minorEastAsia"/>
          <w:sz w:val="24"/>
          <w:szCs w:val="24"/>
        </w:rPr>
        <w:t>4</w:t>
      </w:r>
      <w:r w:rsidR="005B4AA1">
        <w:rPr>
          <w:rFonts w:asciiTheme="minorEastAsia" w:hAnsiTheme="minorEastAsia" w:hint="eastAsia"/>
          <w:sz w:val="24"/>
          <w:szCs w:val="24"/>
        </w:rPr>
        <w:t>日</w:t>
      </w:r>
    </w:p>
    <w:p w:rsidR="00E307E1" w:rsidRDefault="00E307E1" w:rsidP="00DF7B2D">
      <w:pPr>
        <w:spacing w:line="360" w:lineRule="auto"/>
        <w:ind w:firstLineChars="236" w:firstLine="566"/>
        <w:jc w:val="right"/>
        <w:rPr>
          <w:rFonts w:asciiTheme="minorEastAsia" w:hAnsiTheme="minorEastAsia" w:hint="eastAsia"/>
          <w:sz w:val="24"/>
          <w:szCs w:val="24"/>
        </w:rPr>
      </w:pPr>
    </w:p>
    <w:p w:rsidR="008C18D7" w:rsidRDefault="008C18D7" w:rsidP="00DF7B2D">
      <w:pPr>
        <w:spacing w:line="360" w:lineRule="auto"/>
        <w:ind w:firstLineChars="236" w:firstLine="566"/>
        <w:jc w:val="right"/>
        <w:rPr>
          <w:rFonts w:asciiTheme="minorEastAsia" w:hAnsiTheme="minorEastAsia" w:hint="eastAsia"/>
          <w:sz w:val="24"/>
          <w:szCs w:val="24"/>
        </w:rPr>
      </w:pPr>
    </w:p>
    <w:p w:rsidR="008C18D7" w:rsidRDefault="008C18D7" w:rsidP="00DF7B2D">
      <w:pPr>
        <w:spacing w:line="360" w:lineRule="auto"/>
        <w:ind w:firstLineChars="236" w:firstLine="566"/>
        <w:jc w:val="right"/>
        <w:rPr>
          <w:rFonts w:asciiTheme="minorEastAsia" w:hAnsiTheme="minorEastAsia" w:hint="eastAsia"/>
          <w:sz w:val="24"/>
          <w:szCs w:val="24"/>
        </w:rPr>
      </w:pPr>
    </w:p>
    <w:p w:rsidR="008C18D7" w:rsidRDefault="008C18D7" w:rsidP="00DF7B2D">
      <w:pPr>
        <w:spacing w:line="360" w:lineRule="auto"/>
        <w:ind w:firstLineChars="236" w:firstLine="566"/>
        <w:jc w:val="right"/>
        <w:rPr>
          <w:rFonts w:asciiTheme="minorEastAsia" w:hAnsiTheme="minorEastAsia" w:hint="eastAsia"/>
          <w:sz w:val="24"/>
          <w:szCs w:val="24"/>
        </w:rPr>
      </w:pPr>
    </w:p>
    <w:p w:rsidR="008C18D7" w:rsidRPr="008C18D7" w:rsidRDefault="008C18D7" w:rsidP="00DF7B2D">
      <w:pPr>
        <w:spacing w:line="360" w:lineRule="auto"/>
        <w:ind w:firstLineChars="236" w:firstLine="566"/>
        <w:jc w:val="right"/>
        <w:rPr>
          <w:rFonts w:asciiTheme="minorEastAsia" w:hAnsiTheme="minorEastAsia"/>
          <w:sz w:val="24"/>
          <w:szCs w:val="24"/>
        </w:rPr>
      </w:pP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附件一：《关于终止银华惠安定期开放混合型证券投资基金基金合同有关事项的议案》及其说明《关于终止银华惠安定期开放混合型证券投资基金基金合同有关事项的说明》</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附件二：《银华惠安定期开放混合型证券投资基金基金份额持有人大会通讯表决票》</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附件三：《授权委托书》</w:t>
      </w:r>
    </w:p>
    <w:p w:rsidR="00E307E1" w:rsidRDefault="00E307E1" w:rsidP="00E307E1">
      <w:pPr>
        <w:spacing w:line="360" w:lineRule="auto"/>
        <w:rPr>
          <w:rFonts w:asciiTheme="minorEastAsia" w:hAnsiTheme="minorEastAsia"/>
          <w:sz w:val="24"/>
          <w:szCs w:val="24"/>
        </w:rPr>
      </w:pPr>
    </w:p>
    <w:p w:rsidR="00E307E1" w:rsidRDefault="00E307E1" w:rsidP="00E307E1">
      <w:pPr>
        <w:spacing w:line="360" w:lineRule="auto"/>
        <w:rPr>
          <w:rFonts w:asciiTheme="minorEastAsia" w:hAnsiTheme="minorEastAsia"/>
          <w:sz w:val="24"/>
          <w:szCs w:val="24"/>
        </w:rPr>
        <w:sectPr w:rsidR="00E307E1">
          <w:footerReference w:type="default" r:id="rId8"/>
          <w:pgSz w:w="11906" w:h="16838"/>
          <w:pgMar w:top="1440" w:right="1800" w:bottom="1440" w:left="1800" w:header="851" w:footer="992" w:gutter="0"/>
          <w:cols w:space="425"/>
          <w:docGrid w:type="lines" w:linePitch="312"/>
        </w:sectPr>
      </w:pPr>
    </w:p>
    <w:p w:rsidR="00E307E1" w:rsidRDefault="00E307E1" w:rsidP="00E307E1">
      <w:pPr>
        <w:pStyle w:val="1"/>
        <w:rPr>
          <w:sz w:val="28"/>
        </w:rPr>
      </w:pPr>
      <w:r>
        <w:rPr>
          <w:rFonts w:hint="eastAsia"/>
          <w:sz w:val="28"/>
        </w:rPr>
        <w:lastRenderedPageBreak/>
        <w:t>附件一：</w:t>
      </w:r>
    </w:p>
    <w:p w:rsidR="00E307E1" w:rsidRDefault="00E307E1" w:rsidP="00E307E1">
      <w:pPr>
        <w:pStyle w:val="2"/>
        <w:jc w:val="center"/>
      </w:pPr>
      <w:r>
        <w:rPr>
          <w:rFonts w:hint="eastAsia"/>
        </w:rPr>
        <w:t>关于终止银华惠安定期开放混合型证券投资基金基金合同有关事项的议案</w:t>
      </w:r>
    </w:p>
    <w:p w:rsidR="00E307E1" w:rsidRDefault="00E307E1" w:rsidP="00E307E1">
      <w:pPr>
        <w:adjustRightInd w:val="0"/>
        <w:snapToGrid w:val="0"/>
        <w:spacing w:line="360" w:lineRule="auto"/>
        <w:rPr>
          <w:rFonts w:asciiTheme="minorEastAsia" w:hAnsiTheme="minorEastAsia"/>
          <w:sz w:val="24"/>
          <w:szCs w:val="24"/>
        </w:rPr>
      </w:pPr>
      <w:r>
        <w:rPr>
          <w:rFonts w:asciiTheme="minorEastAsia" w:hAnsiTheme="minorEastAsia" w:hint="eastAsia"/>
          <w:sz w:val="24"/>
          <w:szCs w:val="24"/>
        </w:rPr>
        <w:t>银华惠安定期开放混合型证券投资基金基金份额持有人：</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市场环境变化，为保护基金份额持有人的利益，按照《中华人民共和国证券投资基金法》、《公开募集证券投资基金运作管理办法》和《银华惠安定期开放混合型证券投资基金基金合同》（以下简称“《基金合同》”）的有关规定，本基金管理人经与基金托管人中国银行股份有限公司协商一致，提议终止《基金合同》。</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基金合同》终止的具体方案和程序可参见《关于终止银华惠安定期开放混合型证券投资基金基金合同有关事项的说明》。为实施终止《基金合同》，提议授权基金管理人办理本次终止《基金合同》的有关具体事宜，包括但不限于根据市场情况确定清算程序及基金合同终止的具体时间，并根据《关于终止银华惠安定期开放混合型证券投资基金基金合同有关事项的说明》的相关内容对本基金实施清算并终止《基金合同》。</w:t>
      </w:r>
    </w:p>
    <w:p w:rsidR="00E307E1" w:rsidRDefault="00E307E1" w:rsidP="00E307E1">
      <w:pPr>
        <w:adjustRightInd w:val="0"/>
        <w:snapToGrid w:val="0"/>
        <w:spacing w:line="360" w:lineRule="auto"/>
        <w:ind w:firstLineChars="200" w:firstLine="480"/>
        <w:rPr>
          <w:rFonts w:asciiTheme="minorEastAsia" w:hAnsiTheme="minorEastAsia"/>
          <w:sz w:val="24"/>
          <w:szCs w:val="24"/>
        </w:rPr>
      </w:pP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以上提案，请予审议。</w:t>
      </w:r>
    </w:p>
    <w:p w:rsidR="00E307E1" w:rsidRDefault="00E307E1" w:rsidP="00E307E1">
      <w:pPr>
        <w:spacing w:line="360" w:lineRule="auto"/>
        <w:ind w:firstLineChars="236" w:firstLine="566"/>
        <w:rPr>
          <w:rFonts w:asciiTheme="minorEastAsia" w:hAnsiTheme="minorEastAsia"/>
          <w:sz w:val="24"/>
          <w:szCs w:val="24"/>
        </w:rPr>
      </w:pPr>
    </w:p>
    <w:p w:rsidR="00E307E1" w:rsidRDefault="00E307E1" w:rsidP="00E307E1">
      <w:pPr>
        <w:spacing w:line="360" w:lineRule="auto"/>
        <w:ind w:firstLineChars="236" w:firstLine="566"/>
        <w:rPr>
          <w:rFonts w:asciiTheme="minorEastAsia" w:hAnsiTheme="minorEastAsia"/>
          <w:sz w:val="24"/>
          <w:szCs w:val="24"/>
        </w:rPr>
      </w:pPr>
    </w:p>
    <w:p w:rsidR="00E307E1" w:rsidRDefault="00E307E1" w:rsidP="00E307E1">
      <w:pPr>
        <w:spacing w:line="360" w:lineRule="auto"/>
        <w:ind w:firstLineChars="236" w:firstLine="566"/>
        <w:jc w:val="right"/>
        <w:rPr>
          <w:rFonts w:asciiTheme="minorEastAsia" w:hAnsiTheme="minorEastAsia"/>
          <w:sz w:val="24"/>
          <w:szCs w:val="24"/>
        </w:rPr>
      </w:pPr>
      <w:r>
        <w:rPr>
          <w:rFonts w:asciiTheme="minorEastAsia" w:hAnsiTheme="minorEastAsia" w:hint="eastAsia"/>
          <w:sz w:val="24"/>
          <w:szCs w:val="24"/>
        </w:rPr>
        <w:t>银华基金管理股份有限公司</w:t>
      </w:r>
    </w:p>
    <w:p w:rsidR="00E307E1" w:rsidRDefault="002254CB" w:rsidP="00E307E1">
      <w:pPr>
        <w:spacing w:line="360" w:lineRule="auto"/>
        <w:ind w:firstLineChars="236" w:firstLine="566"/>
        <w:jc w:val="right"/>
        <w:rPr>
          <w:rFonts w:asciiTheme="minorEastAsia" w:hAnsiTheme="minorEastAsia"/>
          <w:sz w:val="24"/>
          <w:szCs w:val="24"/>
        </w:rPr>
      </w:pPr>
      <w:r>
        <w:rPr>
          <w:rFonts w:asciiTheme="minorEastAsia" w:hAnsiTheme="minorEastAsia" w:hint="eastAsia"/>
          <w:sz w:val="24"/>
          <w:szCs w:val="24"/>
        </w:rPr>
        <w:t>201</w:t>
      </w:r>
      <w:r>
        <w:rPr>
          <w:rFonts w:asciiTheme="minorEastAsia" w:hAnsiTheme="minorEastAsia"/>
          <w:sz w:val="24"/>
          <w:szCs w:val="24"/>
        </w:rPr>
        <w:t>9</w:t>
      </w:r>
      <w:r>
        <w:rPr>
          <w:rFonts w:asciiTheme="minorEastAsia" w:hAnsiTheme="minorEastAsia" w:hint="eastAsia"/>
          <w:sz w:val="24"/>
          <w:szCs w:val="24"/>
        </w:rPr>
        <w:t>年3月</w:t>
      </w:r>
      <w:r>
        <w:rPr>
          <w:rFonts w:asciiTheme="minorEastAsia" w:hAnsiTheme="minorEastAsia"/>
          <w:sz w:val="24"/>
          <w:szCs w:val="24"/>
        </w:rPr>
        <w:t>4</w:t>
      </w:r>
      <w:bookmarkStart w:id="0" w:name="_GoBack"/>
      <w:bookmarkEnd w:id="0"/>
      <w:r w:rsidR="00E307E1">
        <w:rPr>
          <w:rFonts w:asciiTheme="minorEastAsia" w:hAnsiTheme="minorEastAsia" w:hint="eastAsia"/>
          <w:sz w:val="24"/>
          <w:szCs w:val="24"/>
        </w:rPr>
        <w:t>日</w:t>
      </w:r>
    </w:p>
    <w:p w:rsidR="00E307E1" w:rsidRDefault="00E307E1" w:rsidP="00E307E1">
      <w:pPr>
        <w:widowControl/>
        <w:ind w:firstLineChars="236" w:firstLine="566"/>
        <w:jc w:val="left"/>
        <w:rPr>
          <w:rFonts w:asciiTheme="minorEastAsia" w:hAnsiTheme="minorEastAsia"/>
          <w:sz w:val="24"/>
          <w:szCs w:val="24"/>
        </w:rPr>
      </w:pPr>
      <w:r>
        <w:rPr>
          <w:rFonts w:asciiTheme="minorEastAsia" w:hAnsiTheme="minorEastAsia"/>
          <w:sz w:val="24"/>
          <w:szCs w:val="24"/>
        </w:rPr>
        <w:br w:type="page"/>
      </w:r>
    </w:p>
    <w:p w:rsidR="00E307E1" w:rsidRDefault="00E307E1" w:rsidP="00E307E1">
      <w:pPr>
        <w:pStyle w:val="2"/>
        <w:jc w:val="center"/>
        <w:rPr>
          <w:rStyle w:val="2Char"/>
        </w:rPr>
      </w:pPr>
      <w:r>
        <w:rPr>
          <w:rFonts w:hint="eastAsia"/>
        </w:rPr>
        <w:lastRenderedPageBreak/>
        <w:t>关于终止银华惠安定期开放混合型证券投资基金基金合同有关事项的</w:t>
      </w:r>
      <w:r>
        <w:rPr>
          <w:rStyle w:val="2Char"/>
          <w:rFonts w:hint="eastAsia"/>
          <w:b/>
        </w:rPr>
        <w:t>说明</w:t>
      </w:r>
    </w:p>
    <w:p w:rsidR="00E307E1" w:rsidRDefault="00E307E1" w:rsidP="00E307E1">
      <w:pPr>
        <w:adjustRightInd w:val="0"/>
        <w:snapToGrid w:val="0"/>
        <w:spacing w:line="360" w:lineRule="auto"/>
        <w:ind w:firstLineChars="200" w:firstLine="480"/>
        <w:rPr>
          <w:sz w:val="24"/>
          <w:szCs w:val="24"/>
        </w:rPr>
      </w:pPr>
      <w:r>
        <w:rPr>
          <w:rFonts w:hint="eastAsia"/>
          <w:sz w:val="24"/>
          <w:szCs w:val="24"/>
        </w:rPr>
        <w:t>银华惠</w:t>
      </w:r>
      <w:r>
        <w:rPr>
          <w:sz w:val="24"/>
          <w:szCs w:val="24"/>
        </w:rPr>
        <w:t>安定期开放混合型</w:t>
      </w:r>
      <w:r>
        <w:rPr>
          <w:rFonts w:hint="eastAsia"/>
          <w:sz w:val="24"/>
          <w:szCs w:val="24"/>
        </w:rPr>
        <w:t>证券投资基金经</w:t>
      </w:r>
      <w:r>
        <w:rPr>
          <w:sz w:val="24"/>
          <w:szCs w:val="24"/>
        </w:rPr>
        <w:t>2016</w:t>
      </w:r>
      <w:r>
        <w:rPr>
          <w:rFonts w:hint="eastAsia"/>
          <w:sz w:val="24"/>
          <w:szCs w:val="24"/>
        </w:rPr>
        <w:t>年</w:t>
      </w:r>
      <w:r>
        <w:rPr>
          <w:rFonts w:hint="eastAsia"/>
          <w:sz w:val="24"/>
          <w:szCs w:val="24"/>
        </w:rPr>
        <w:t>12</w:t>
      </w:r>
      <w:r>
        <w:rPr>
          <w:rFonts w:hint="eastAsia"/>
          <w:sz w:val="24"/>
          <w:szCs w:val="24"/>
        </w:rPr>
        <w:t>月</w:t>
      </w:r>
      <w:r>
        <w:rPr>
          <w:sz w:val="24"/>
          <w:szCs w:val="24"/>
        </w:rPr>
        <w:t>8</w:t>
      </w:r>
      <w:r>
        <w:rPr>
          <w:rFonts w:hint="eastAsia"/>
          <w:sz w:val="24"/>
          <w:szCs w:val="24"/>
        </w:rPr>
        <w:t>日中国证监会证监许可【</w:t>
      </w:r>
      <w:r>
        <w:rPr>
          <w:sz w:val="24"/>
          <w:szCs w:val="24"/>
        </w:rPr>
        <w:t>2016</w:t>
      </w:r>
      <w:r>
        <w:rPr>
          <w:rFonts w:hint="eastAsia"/>
          <w:sz w:val="24"/>
          <w:szCs w:val="24"/>
        </w:rPr>
        <w:t>】</w:t>
      </w:r>
      <w:r>
        <w:rPr>
          <w:rFonts w:hint="eastAsia"/>
          <w:sz w:val="24"/>
          <w:szCs w:val="24"/>
        </w:rPr>
        <w:t>3044</w:t>
      </w:r>
      <w:r>
        <w:rPr>
          <w:rFonts w:hint="eastAsia"/>
          <w:sz w:val="24"/>
          <w:szCs w:val="24"/>
        </w:rPr>
        <w:t>号文准予募集注册，基金管理人为银华基金管理股份有限公司，基金托管人为中国银行股份有限公司。经中国证监会书面确认，《银华惠</w:t>
      </w:r>
      <w:r>
        <w:rPr>
          <w:sz w:val="24"/>
          <w:szCs w:val="24"/>
        </w:rPr>
        <w:t>安定期开放混合型</w:t>
      </w:r>
      <w:r>
        <w:rPr>
          <w:rFonts w:hint="eastAsia"/>
          <w:sz w:val="24"/>
          <w:szCs w:val="24"/>
        </w:rPr>
        <w:t>证券投资基金基金合同》（以下简称“《基金合同》”）于</w:t>
      </w:r>
      <w:r>
        <w:rPr>
          <w:sz w:val="24"/>
          <w:szCs w:val="24"/>
        </w:rPr>
        <w:t>2017</w:t>
      </w:r>
      <w:r>
        <w:rPr>
          <w:rFonts w:hint="eastAsia"/>
          <w:sz w:val="24"/>
          <w:szCs w:val="24"/>
        </w:rPr>
        <w:t>年</w:t>
      </w:r>
      <w:r>
        <w:rPr>
          <w:sz w:val="24"/>
          <w:szCs w:val="24"/>
        </w:rPr>
        <w:t>3</w:t>
      </w:r>
      <w:r>
        <w:rPr>
          <w:rFonts w:hint="eastAsia"/>
          <w:sz w:val="24"/>
          <w:szCs w:val="24"/>
        </w:rPr>
        <w:t>月</w:t>
      </w:r>
      <w:r>
        <w:rPr>
          <w:sz w:val="24"/>
          <w:szCs w:val="24"/>
        </w:rPr>
        <w:t>17</w:t>
      </w:r>
      <w:r>
        <w:rPr>
          <w:rFonts w:hint="eastAsia"/>
          <w:sz w:val="24"/>
          <w:szCs w:val="24"/>
        </w:rPr>
        <w:t>日生效。</w:t>
      </w:r>
    </w:p>
    <w:p w:rsidR="00E307E1" w:rsidRDefault="00E307E1" w:rsidP="00E307E1">
      <w:pPr>
        <w:adjustRightInd w:val="0"/>
        <w:snapToGrid w:val="0"/>
        <w:spacing w:line="360" w:lineRule="auto"/>
        <w:ind w:firstLineChars="200" w:firstLine="480"/>
        <w:rPr>
          <w:sz w:val="24"/>
          <w:szCs w:val="24"/>
        </w:rPr>
      </w:pPr>
      <w:r>
        <w:rPr>
          <w:rFonts w:hint="eastAsia"/>
          <w:sz w:val="24"/>
          <w:szCs w:val="24"/>
        </w:rPr>
        <w:t>根据市场环境变化，为保护基金份额持有人的利益，按照《中华人民共和国证券投资基金法》、《公开募集证券投资基金运作管理办法》和《基金合同》的有关规定，提议终止《基金合同》，具体方案如下：</w:t>
      </w:r>
    </w:p>
    <w:p w:rsidR="00E307E1" w:rsidRDefault="00E307E1" w:rsidP="00E307E1">
      <w:pPr>
        <w:pStyle w:val="3"/>
        <w:rPr>
          <w:sz w:val="24"/>
        </w:rPr>
      </w:pPr>
      <w:r>
        <w:rPr>
          <w:rFonts w:hint="eastAsia"/>
          <w:sz w:val="24"/>
        </w:rPr>
        <w:t>一</w:t>
      </w:r>
      <w:r>
        <w:rPr>
          <w:sz w:val="24"/>
        </w:rPr>
        <w:t>、方案要点</w:t>
      </w:r>
    </w:p>
    <w:p w:rsidR="00E307E1" w:rsidRDefault="00E307E1" w:rsidP="00E307E1">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1、本基金进入清算程序前的基金运作</w:t>
      </w:r>
    </w:p>
    <w:p w:rsidR="00E307E1" w:rsidRDefault="00E307E1" w:rsidP="00E307E1">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在进入清算程序前，本基金仍按照《基金合同》约定的运作方式进行运作。</w:t>
      </w:r>
    </w:p>
    <w:p w:rsidR="00E307E1" w:rsidRDefault="00E307E1" w:rsidP="00E307E1">
      <w:pPr>
        <w:spacing w:line="360" w:lineRule="auto"/>
        <w:ind w:firstLineChars="236" w:firstLine="566"/>
        <w:rPr>
          <w:rFonts w:asciiTheme="minorEastAsia" w:hAnsiTheme="minorEastAsia"/>
          <w:sz w:val="24"/>
          <w:szCs w:val="24"/>
        </w:rPr>
      </w:pPr>
      <w:r>
        <w:rPr>
          <w:rFonts w:asciiTheme="minorEastAsia" w:hAnsiTheme="minorEastAsia"/>
          <w:sz w:val="24"/>
          <w:szCs w:val="24"/>
        </w:rPr>
        <w:t>2、基金财产清算</w:t>
      </w:r>
    </w:p>
    <w:p w:rsidR="00E307E1" w:rsidRDefault="00E307E1" w:rsidP="00E307E1">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1）通过《关于终止银华惠安定期开放混合型证券投资基金</w:t>
      </w:r>
      <w:r>
        <w:rPr>
          <w:rFonts w:asciiTheme="minorEastAsia" w:hAnsiTheme="minorEastAsia" w:hint="eastAsia"/>
          <w:sz w:val="24"/>
          <w:szCs w:val="24"/>
        </w:rPr>
        <w:t>基金合同有关事项的议案》的基金份额持有人大会决议自本次基金份额持有人大会表决通过之日起生效。基金管理人将自决议生效之日起依照《证券投资基金信息披露管理办法》的有关规定在指定媒介公告。</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若</w:t>
      </w:r>
      <w:r>
        <w:rPr>
          <w:rFonts w:asciiTheme="minorEastAsia" w:hAnsiTheme="minorEastAsia"/>
          <w:sz w:val="24"/>
          <w:szCs w:val="24"/>
        </w:rPr>
        <w:t>本次</w:t>
      </w:r>
      <w:r>
        <w:rPr>
          <w:rFonts w:asciiTheme="minorEastAsia" w:hAnsiTheme="minorEastAsia" w:hint="eastAsia"/>
          <w:sz w:val="24"/>
          <w:szCs w:val="24"/>
        </w:rPr>
        <w:t>基金份额</w:t>
      </w:r>
      <w:r>
        <w:rPr>
          <w:rFonts w:asciiTheme="minorEastAsia" w:hAnsiTheme="minorEastAsia"/>
          <w:sz w:val="24"/>
          <w:szCs w:val="24"/>
        </w:rPr>
        <w:t>持有人大会表决通过关于基金合同终止的议案，本基金将</w:t>
      </w:r>
      <w:r>
        <w:rPr>
          <w:rFonts w:asciiTheme="minorEastAsia" w:hAnsiTheme="minorEastAsia" w:hint="eastAsia"/>
          <w:sz w:val="24"/>
          <w:szCs w:val="24"/>
        </w:rPr>
        <w:t>于决议生效并公告后的下一</w:t>
      </w:r>
      <w:r>
        <w:rPr>
          <w:rFonts w:asciiTheme="minorEastAsia" w:hAnsiTheme="minorEastAsia"/>
          <w:sz w:val="24"/>
          <w:szCs w:val="24"/>
        </w:rPr>
        <w:t>个工作日</w:t>
      </w:r>
      <w:r>
        <w:rPr>
          <w:rFonts w:asciiTheme="minorEastAsia" w:hAnsiTheme="minorEastAsia" w:hint="eastAsia"/>
          <w:sz w:val="24"/>
          <w:szCs w:val="24"/>
        </w:rPr>
        <w:t>进入清算程序，基金管理人自进入清算程序之日起不再接受投资人提出的申购</w:t>
      </w:r>
      <w:r>
        <w:rPr>
          <w:rFonts w:asciiTheme="minorEastAsia" w:hAnsiTheme="minorEastAsia"/>
          <w:sz w:val="24"/>
          <w:szCs w:val="24"/>
        </w:rPr>
        <w:t>、</w:t>
      </w:r>
      <w:r>
        <w:rPr>
          <w:rFonts w:asciiTheme="minorEastAsia" w:hAnsiTheme="minorEastAsia" w:hint="eastAsia"/>
          <w:sz w:val="24"/>
          <w:szCs w:val="24"/>
        </w:rPr>
        <w:t>赎回等业务的申请。本基金进入</w:t>
      </w:r>
      <w:r>
        <w:rPr>
          <w:rFonts w:asciiTheme="minorEastAsia" w:hAnsiTheme="minorEastAsia"/>
          <w:sz w:val="24"/>
          <w:szCs w:val="24"/>
        </w:rPr>
        <w:t>清算程序后</w:t>
      </w:r>
      <w:r>
        <w:rPr>
          <w:rFonts w:asciiTheme="minorEastAsia" w:hAnsiTheme="minorEastAsia" w:hint="eastAsia"/>
          <w:sz w:val="24"/>
          <w:szCs w:val="24"/>
        </w:rPr>
        <w:t>，停止收取基金管理费和基金托管费。</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（3）基金财产清算小组</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1)《基金合同》终止事由出现后，成立基金财产清算小组，基金财产清算小组在中国证监会的监督下进行基金清算。</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2)基金财产清算小组成员由基金管理人、基金托管人、具有从事证券相关业务资格的注册会计师、律师以及中国证监会指定的人员组成。基金财产清算小组</w:t>
      </w:r>
      <w:r>
        <w:rPr>
          <w:rFonts w:asciiTheme="minorEastAsia" w:hAnsiTheme="minorEastAsia" w:hint="eastAsia"/>
          <w:sz w:val="24"/>
          <w:szCs w:val="24"/>
        </w:rPr>
        <w:lastRenderedPageBreak/>
        <w:t>可以聘用必要的工作人员。</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3)基金财产清算小组负责基金财产的保管、清理、估价、变现和分配。基金财产清算小组可以依法进行必要的民事活动。</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（4）基金财产清算程序</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1）基金合同终止情形出现时，由基金财产清算小组统一接管基金；</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2）对基金财产和债权债务进行清理和确认；</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3）对基金财产进行估值和变现；</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4）制作清算报告；</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5）聘请会计师事务所对清算报告进行外部审计，聘请律师事务所对清算报告出具法律意见书；</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6）将清算报告报中国证监会备案并公告</w:t>
      </w:r>
      <w:r>
        <w:rPr>
          <w:rFonts w:asciiTheme="minorEastAsia" w:hAnsiTheme="minorEastAsia" w:hint="eastAsia"/>
          <w:sz w:val="24"/>
          <w:szCs w:val="24"/>
        </w:rPr>
        <w:t>；</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7）对基金</w:t>
      </w:r>
      <w:r>
        <w:rPr>
          <w:rFonts w:asciiTheme="minorEastAsia" w:hAnsiTheme="minorEastAsia" w:hint="eastAsia"/>
          <w:sz w:val="24"/>
          <w:szCs w:val="24"/>
        </w:rPr>
        <w:t>剩余</w:t>
      </w:r>
      <w:r>
        <w:rPr>
          <w:rFonts w:asciiTheme="minorEastAsia" w:hAnsiTheme="minorEastAsia"/>
          <w:sz w:val="24"/>
          <w:szCs w:val="24"/>
        </w:rPr>
        <w:t>财产进行分配</w:t>
      </w:r>
      <w:r>
        <w:rPr>
          <w:rFonts w:asciiTheme="minorEastAsia" w:hAnsiTheme="minorEastAsia" w:hint="eastAsia"/>
          <w:sz w:val="24"/>
          <w:szCs w:val="24"/>
        </w:rPr>
        <w:t>。</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基金财产清算的期限为6个月。</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基金管理人应在6个月内办理基金财产的清算事宜，基金财产清算小组可根据基金财产的情况确定清算期限；在特殊情况下，若截至清算期限届满日，本基金仍持有流通受限证券的（包括但不限于未到期回购等），基金管理人可在该等证券可流通后进行二次清算。本基金的清算期限自动顺延至全部基金财产清算完毕之日。</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（5）清算费用</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清算费用是指基金财产清算小组在进行基金清算过程中发生的所有合理费用，清算费用由基金财产清算小组优先从基金</w:t>
      </w:r>
      <w:r>
        <w:rPr>
          <w:rFonts w:asciiTheme="minorEastAsia" w:hAnsiTheme="minorEastAsia" w:hint="eastAsia"/>
          <w:sz w:val="24"/>
          <w:szCs w:val="24"/>
        </w:rPr>
        <w:t>剩余</w:t>
      </w:r>
      <w:r>
        <w:rPr>
          <w:rFonts w:asciiTheme="minorEastAsia" w:hAnsiTheme="minorEastAsia"/>
          <w:sz w:val="24"/>
          <w:szCs w:val="24"/>
        </w:rPr>
        <w:t>财产中支付。</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Pr>
          <w:rFonts w:asciiTheme="minorEastAsia" w:hAnsiTheme="minorEastAsia"/>
          <w:sz w:val="24"/>
          <w:szCs w:val="24"/>
        </w:rPr>
        <w:t>基金财产清算剩余资产的分配</w:t>
      </w:r>
    </w:p>
    <w:p w:rsidR="00E307E1" w:rsidRDefault="00E307E1" w:rsidP="00E307E1">
      <w:pPr>
        <w:spacing w:line="360" w:lineRule="auto"/>
        <w:ind w:firstLineChars="200" w:firstLine="480"/>
        <w:rPr>
          <w:rFonts w:asciiTheme="minorEastAsia" w:hAnsiTheme="minorEastAsia"/>
          <w:sz w:val="24"/>
          <w:szCs w:val="24"/>
        </w:rPr>
      </w:pPr>
      <w:r>
        <w:rPr>
          <w:rFonts w:asciiTheme="minorEastAsia" w:hAnsiTheme="minorEastAsia"/>
          <w:sz w:val="24"/>
          <w:szCs w:val="24"/>
        </w:rPr>
        <w:t>依据基金财产清算的分配方案，将基金财产清算后的全部剩余资产扣除基金财产清算费用、交纳所欠税款并清偿基金债务后，按基金份额持有人持有的基金份额比例进行分配</w:t>
      </w:r>
      <w:r>
        <w:rPr>
          <w:rFonts w:asciiTheme="minorEastAsia" w:hAnsiTheme="minorEastAsia" w:hint="eastAsia"/>
          <w:sz w:val="24"/>
          <w:szCs w:val="24"/>
        </w:rPr>
        <w:t>。</w:t>
      </w:r>
    </w:p>
    <w:p w:rsidR="00E307E1" w:rsidRDefault="00E307E1" w:rsidP="00E307E1">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3、基金财产清算的公告</w:t>
      </w:r>
    </w:p>
    <w:p w:rsidR="00E307E1" w:rsidRDefault="00E307E1" w:rsidP="00E307E1">
      <w:pPr>
        <w:spacing w:line="360" w:lineRule="auto"/>
        <w:ind w:firstLineChars="236" w:firstLine="566"/>
        <w:rPr>
          <w:rFonts w:asciiTheme="minorEastAsia" w:hAnsiTheme="minorEastAsia"/>
          <w:sz w:val="24"/>
          <w:szCs w:val="24"/>
        </w:rPr>
      </w:pPr>
      <w:r>
        <w:rPr>
          <w:rFonts w:asciiTheme="minorEastAsia" w:hAnsiTheme="minorEastAsia" w:hint="eastAsia"/>
          <w:sz w:val="24"/>
          <w:szCs w:val="24"/>
        </w:rPr>
        <w:t>清算过程中的有关重大事项须及时公告；基金财产清算报告经会计师事务所审计，律师事务所出具法律意见书后，由基金财产清算小组报中国证监会备案并公告。</w:t>
      </w:r>
    </w:p>
    <w:p w:rsidR="00E307E1" w:rsidRDefault="00E307E1" w:rsidP="00E307E1">
      <w:pPr>
        <w:pStyle w:val="3"/>
        <w:rPr>
          <w:sz w:val="24"/>
        </w:rPr>
      </w:pPr>
      <w:r>
        <w:rPr>
          <w:rFonts w:hint="eastAsia"/>
          <w:sz w:val="24"/>
        </w:rPr>
        <w:lastRenderedPageBreak/>
        <w:t>二、终止基金合同的可行性</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1、法律方面</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中华人民共和国证券投资基金法》规定，终止基金合同需召开基金份额持有人大会；《基金合同》约定，终止《基金合同》应当召开基金份额持有人大会；本次基金份额持有人大会决议属于特别决议，须经参加会议基金份额持有人或其代理人所持表决权的三分之二以上（含三分之二）通过方为有效。</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因此，终止《基金合同》不存在法律方面的障碍。</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2、准备工作有序进行</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为了保障银华惠安定期开放混合型证券投资基金持有人大会的顺利召开及后续清算工作的进行，基金管理人成立了专门的工作小组，筹备持有人大会事宜，并与会计师事务所、律师事务所、公证机构、机构投资者和部分个人投资者进行了沟通，制定了客户通过通讯方式参与持有人大会的方式方法，从而保证持有人大会可以顺利进行。本基金进入清算程序后，将根据基金合同中有关基金财产清算的规定，成立基金财产清算小组。基金财产清算小组成员由基金管理人、基金托管人、具有从事证券相关业务资格的注册会计师、律师以及中国证监会指定的人员组成。基金财产清算小组可以聘用必要的工作人员。本基金的管理人、托管人已就财产清算的有关事项进行了充分准备，技术可行。清算报告将由会计师事务所进行外部审计，律师事务所出具法律意见书，报中国证监会备案并公告。</w:t>
      </w:r>
    </w:p>
    <w:p w:rsidR="00E307E1" w:rsidRDefault="00E307E1" w:rsidP="00E307E1">
      <w:pPr>
        <w:pStyle w:val="3"/>
        <w:rPr>
          <w:sz w:val="24"/>
        </w:rPr>
      </w:pPr>
      <w:r>
        <w:rPr>
          <w:rFonts w:hint="eastAsia"/>
          <w:sz w:val="24"/>
        </w:rPr>
        <w:t>三、终止基金合同的主要风险及预备措施</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终止基金合同的主要风险是基金份额持有人大会议案被否决的风险。相关预备措施如下：</w:t>
      </w:r>
    </w:p>
    <w:p w:rsidR="00E307E1" w:rsidRDefault="00E307E1" w:rsidP="00E307E1">
      <w:pPr>
        <w:adjustRightInd w:val="0"/>
        <w:snapToGrid w:val="0"/>
        <w:spacing w:line="360" w:lineRule="auto"/>
        <w:ind w:firstLineChars="200" w:firstLine="480"/>
        <w:rPr>
          <w:rFonts w:asciiTheme="minorEastAsia" w:hAnsiTheme="minorEastAsia"/>
          <w:sz w:val="24"/>
          <w:szCs w:val="24"/>
        </w:rPr>
      </w:pPr>
      <w:r>
        <w:rPr>
          <w:rFonts w:asciiTheme="minorEastAsia" w:hAnsiTheme="minorEastAsia" w:hint="eastAsia"/>
          <w:sz w:val="24"/>
          <w:szCs w:val="24"/>
        </w:rPr>
        <w:t>在拟定议案前，基金管理人与基金份额持有人进行沟通，认真听取相关意见，拟定议案前综合考虑基金份额持有人的要求。议案公告后，基金管理人还将再次征询基金份额持有人的意见。如有必要，基金管理人将根据基金份额持有人意见，对基金合同终止的方案进行适当的修订，并重新公告。基金管理人已预留足够的时间，已做好</w:t>
      </w:r>
      <w:r>
        <w:rPr>
          <w:rFonts w:asciiTheme="minorEastAsia" w:hAnsiTheme="minorEastAsia"/>
          <w:sz w:val="24"/>
          <w:szCs w:val="24"/>
        </w:rPr>
        <w:t>在必要情况下</w:t>
      </w:r>
      <w:r>
        <w:rPr>
          <w:rFonts w:asciiTheme="minorEastAsia" w:hAnsiTheme="minorEastAsia" w:hint="eastAsia"/>
          <w:sz w:val="24"/>
          <w:szCs w:val="24"/>
        </w:rPr>
        <w:t>二次召开或推迟召开基金份额持有人大会的准备。如果本终止方案未获得持有人大会通过，基金管理人将按照有关规定重新向基金份额持有人大会提交议案。</w:t>
      </w:r>
    </w:p>
    <w:p w:rsidR="00E307E1" w:rsidRDefault="00E307E1" w:rsidP="00E307E1">
      <w:pPr>
        <w:adjustRightInd w:val="0"/>
        <w:snapToGrid w:val="0"/>
        <w:spacing w:line="360" w:lineRule="auto"/>
        <w:ind w:firstLineChars="200" w:firstLine="480"/>
        <w:rPr>
          <w:sz w:val="24"/>
        </w:rPr>
        <w:sectPr w:rsidR="00E307E1">
          <w:pgSz w:w="11906" w:h="16838"/>
          <w:pgMar w:top="1440" w:right="1800" w:bottom="1440" w:left="1800" w:header="851" w:footer="992" w:gutter="0"/>
          <w:pgNumType w:start="1"/>
          <w:cols w:space="425"/>
          <w:docGrid w:type="lines" w:linePitch="312"/>
        </w:sectPr>
      </w:pPr>
    </w:p>
    <w:p w:rsidR="00E307E1" w:rsidRDefault="00E307E1" w:rsidP="00E307E1">
      <w:pPr>
        <w:pStyle w:val="1"/>
      </w:pPr>
      <w:r>
        <w:rPr>
          <w:rFonts w:hint="eastAsia"/>
          <w:sz w:val="28"/>
        </w:rPr>
        <w:lastRenderedPageBreak/>
        <w:t>附件二：</w:t>
      </w:r>
    </w:p>
    <w:p w:rsidR="00E307E1" w:rsidRDefault="00E307E1" w:rsidP="00E307E1">
      <w:pPr>
        <w:spacing w:line="360" w:lineRule="auto"/>
        <w:ind w:firstLineChars="200" w:firstLine="562"/>
        <w:jc w:val="center"/>
        <w:rPr>
          <w:b/>
          <w:sz w:val="28"/>
          <w:szCs w:val="28"/>
        </w:rPr>
      </w:pPr>
      <w:r>
        <w:rPr>
          <w:rFonts w:hint="eastAsia"/>
          <w:b/>
          <w:sz w:val="28"/>
          <w:szCs w:val="28"/>
        </w:rPr>
        <w:t>银华惠安定期开放混合型证券投资基金</w:t>
      </w:r>
    </w:p>
    <w:p w:rsidR="00E307E1" w:rsidRDefault="00E307E1" w:rsidP="00E307E1">
      <w:pPr>
        <w:spacing w:line="360" w:lineRule="auto"/>
        <w:ind w:firstLineChars="200" w:firstLine="562"/>
        <w:jc w:val="center"/>
        <w:rPr>
          <w:b/>
          <w:sz w:val="28"/>
          <w:szCs w:val="28"/>
        </w:rPr>
      </w:pPr>
      <w:r>
        <w:rPr>
          <w:rFonts w:hint="eastAsia"/>
          <w:b/>
          <w:sz w:val="28"/>
          <w:szCs w:val="28"/>
        </w:rPr>
        <w:t>基金份额持有人大会通讯表决票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3"/>
        <w:gridCol w:w="1391"/>
        <w:gridCol w:w="1235"/>
        <w:gridCol w:w="1527"/>
      </w:tblGrid>
      <w:tr w:rsidR="00E307E1" w:rsidTr="00097161">
        <w:tc>
          <w:tcPr>
            <w:tcW w:w="4143" w:type="dxa"/>
            <w:shd w:val="clear" w:color="auto" w:fill="auto"/>
          </w:tcPr>
          <w:p w:rsidR="00E307E1" w:rsidRDefault="00E307E1" w:rsidP="00097161">
            <w:pPr>
              <w:spacing w:line="360" w:lineRule="auto"/>
              <w:jc w:val="left"/>
            </w:pPr>
            <w:r>
              <w:rPr>
                <w:rFonts w:hint="eastAsia"/>
              </w:rPr>
              <w:t>基金份额持有人姓名</w:t>
            </w:r>
            <w:r>
              <w:rPr>
                <w:rFonts w:hint="eastAsia"/>
              </w:rPr>
              <w:t>/</w:t>
            </w:r>
            <w:r>
              <w:rPr>
                <w:rFonts w:hint="eastAsia"/>
              </w:rPr>
              <w:t>名称：</w:t>
            </w:r>
          </w:p>
        </w:tc>
        <w:tc>
          <w:tcPr>
            <w:tcW w:w="4153" w:type="dxa"/>
            <w:gridSpan w:val="3"/>
            <w:shd w:val="clear" w:color="auto" w:fill="auto"/>
          </w:tcPr>
          <w:p w:rsidR="00E307E1" w:rsidRDefault="00E307E1" w:rsidP="00097161">
            <w:pPr>
              <w:tabs>
                <w:tab w:val="left" w:pos="634"/>
              </w:tabs>
              <w:spacing w:line="360" w:lineRule="auto"/>
              <w:jc w:val="left"/>
            </w:pPr>
          </w:p>
        </w:tc>
      </w:tr>
      <w:tr w:rsidR="00E307E1" w:rsidTr="00097161">
        <w:tc>
          <w:tcPr>
            <w:tcW w:w="4143" w:type="dxa"/>
            <w:shd w:val="clear" w:color="auto" w:fill="auto"/>
          </w:tcPr>
          <w:p w:rsidR="00E307E1" w:rsidRDefault="00E307E1" w:rsidP="00097161">
            <w:pPr>
              <w:spacing w:line="360" w:lineRule="auto"/>
              <w:jc w:val="left"/>
            </w:pPr>
            <w:r>
              <w:rPr>
                <w:rFonts w:hint="eastAsia"/>
              </w:rPr>
              <w:t>基金份额持有人证件号码（身份证件号</w:t>
            </w:r>
            <w:r>
              <w:rPr>
                <w:rFonts w:hint="eastAsia"/>
              </w:rPr>
              <w:t>/</w:t>
            </w:r>
            <w:r>
              <w:rPr>
                <w:rFonts w:hint="eastAsia"/>
              </w:rPr>
              <w:t>营业执照注册号）：</w:t>
            </w:r>
          </w:p>
        </w:tc>
        <w:tc>
          <w:tcPr>
            <w:tcW w:w="4153" w:type="dxa"/>
            <w:gridSpan w:val="3"/>
            <w:shd w:val="clear" w:color="auto" w:fill="auto"/>
          </w:tcPr>
          <w:p w:rsidR="00E307E1" w:rsidRDefault="00E307E1" w:rsidP="00097161">
            <w:pPr>
              <w:spacing w:line="360" w:lineRule="auto"/>
              <w:jc w:val="left"/>
            </w:pPr>
          </w:p>
        </w:tc>
      </w:tr>
      <w:tr w:rsidR="00E307E1" w:rsidTr="00097161">
        <w:tc>
          <w:tcPr>
            <w:tcW w:w="4143" w:type="dxa"/>
            <w:shd w:val="clear" w:color="auto" w:fill="auto"/>
          </w:tcPr>
          <w:p w:rsidR="00E307E1" w:rsidRDefault="00E307E1" w:rsidP="00097161">
            <w:pPr>
              <w:spacing w:line="360" w:lineRule="auto"/>
              <w:jc w:val="left"/>
            </w:pPr>
            <w:r>
              <w:rPr>
                <w:rFonts w:hint="eastAsia"/>
              </w:rPr>
              <w:t>基金份额持有人开放式基金账户号</w:t>
            </w:r>
            <w:r>
              <w:rPr>
                <w:rFonts w:hint="eastAsia"/>
              </w:rPr>
              <w:t>/</w:t>
            </w:r>
            <w:r>
              <w:rPr>
                <w:rFonts w:hint="eastAsia"/>
              </w:rPr>
              <w:t>上海证券账户号：</w:t>
            </w:r>
          </w:p>
        </w:tc>
        <w:tc>
          <w:tcPr>
            <w:tcW w:w="4153" w:type="dxa"/>
            <w:gridSpan w:val="3"/>
            <w:shd w:val="clear" w:color="auto" w:fill="auto"/>
          </w:tcPr>
          <w:p w:rsidR="00E307E1" w:rsidRDefault="00E307E1" w:rsidP="00097161">
            <w:pPr>
              <w:spacing w:line="360" w:lineRule="auto"/>
              <w:jc w:val="left"/>
            </w:pPr>
          </w:p>
        </w:tc>
      </w:tr>
      <w:tr w:rsidR="00E307E1" w:rsidTr="00097161">
        <w:tc>
          <w:tcPr>
            <w:tcW w:w="4143" w:type="dxa"/>
            <w:shd w:val="clear" w:color="auto" w:fill="auto"/>
          </w:tcPr>
          <w:p w:rsidR="00E307E1" w:rsidRDefault="00E307E1" w:rsidP="00097161">
            <w:pPr>
              <w:spacing w:line="360" w:lineRule="auto"/>
              <w:jc w:val="left"/>
            </w:pPr>
            <w:r>
              <w:rPr>
                <w:rFonts w:hint="eastAsia"/>
              </w:rPr>
              <w:t>受托人（代理人）姓名</w:t>
            </w:r>
            <w:r>
              <w:rPr>
                <w:rFonts w:hint="eastAsia"/>
              </w:rPr>
              <w:t>/</w:t>
            </w:r>
            <w:r>
              <w:rPr>
                <w:rFonts w:hint="eastAsia"/>
              </w:rPr>
              <w:t>名称：</w:t>
            </w:r>
          </w:p>
        </w:tc>
        <w:tc>
          <w:tcPr>
            <w:tcW w:w="4153" w:type="dxa"/>
            <w:gridSpan w:val="3"/>
            <w:shd w:val="clear" w:color="auto" w:fill="auto"/>
          </w:tcPr>
          <w:p w:rsidR="00E307E1" w:rsidRDefault="00E307E1" w:rsidP="00097161">
            <w:pPr>
              <w:spacing w:line="360" w:lineRule="auto"/>
              <w:jc w:val="left"/>
            </w:pPr>
          </w:p>
        </w:tc>
      </w:tr>
      <w:tr w:rsidR="00E307E1" w:rsidTr="00097161">
        <w:tc>
          <w:tcPr>
            <w:tcW w:w="4143" w:type="dxa"/>
            <w:shd w:val="clear" w:color="auto" w:fill="auto"/>
          </w:tcPr>
          <w:p w:rsidR="00E307E1" w:rsidRDefault="00E307E1" w:rsidP="00097161">
            <w:pPr>
              <w:spacing w:line="360" w:lineRule="auto"/>
              <w:jc w:val="left"/>
            </w:pPr>
            <w:r>
              <w:rPr>
                <w:rFonts w:hint="eastAsia"/>
              </w:rPr>
              <w:t>受托人（代理人）证件号码（身份证件号</w:t>
            </w:r>
            <w:r>
              <w:rPr>
                <w:rFonts w:hint="eastAsia"/>
              </w:rPr>
              <w:t>/</w:t>
            </w:r>
            <w:r>
              <w:rPr>
                <w:rFonts w:hint="eastAsia"/>
              </w:rPr>
              <w:t>营业执照注册号）：</w:t>
            </w:r>
          </w:p>
        </w:tc>
        <w:tc>
          <w:tcPr>
            <w:tcW w:w="4153" w:type="dxa"/>
            <w:gridSpan w:val="3"/>
            <w:shd w:val="clear" w:color="auto" w:fill="auto"/>
          </w:tcPr>
          <w:p w:rsidR="00E307E1" w:rsidRDefault="00E307E1" w:rsidP="00097161">
            <w:pPr>
              <w:spacing w:line="360" w:lineRule="auto"/>
              <w:jc w:val="left"/>
            </w:pPr>
          </w:p>
        </w:tc>
      </w:tr>
      <w:tr w:rsidR="00E307E1" w:rsidTr="00097161">
        <w:tc>
          <w:tcPr>
            <w:tcW w:w="4143" w:type="dxa"/>
            <w:shd w:val="clear" w:color="auto" w:fill="auto"/>
          </w:tcPr>
          <w:p w:rsidR="00E307E1" w:rsidRDefault="00E307E1" w:rsidP="00097161">
            <w:pPr>
              <w:spacing w:line="360" w:lineRule="auto"/>
              <w:jc w:val="center"/>
            </w:pPr>
            <w:r>
              <w:rPr>
                <w:rFonts w:hint="eastAsia"/>
              </w:rPr>
              <w:t>审议事项</w:t>
            </w:r>
          </w:p>
        </w:tc>
        <w:tc>
          <w:tcPr>
            <w:tcW w:w="1391" w:type="dxa"/>
            <w:shd w:val="clear" w:color="auto" w:fill="auto"/>
          </w:tcPr>
          <w:p w:rsidR="00E307E1" w:rsidRDefault="00E307E1" w:rsidP="00097161">
            <w:pPr>
              <w:spacing w:line="360" w:lineRule="auto"/>
              <w:jc w:val="center"/>
            </w:pPr>
            <w:r>
              <w:rPr>
                <w:rFonts w:hint="eastAsia"/>
              </w:rPr>
              <w:t>同意</w:t>
            </w:r>
          </w:p>
        </w:tc>
        <w:tc>
          <w:tcPr>
            <w:tcW w:w="1235" w:type="dxa"/>
            <w:shd w:val="clear" w:color="auto" w:fill="auto"/>
          </w:tcPr>
          <w:p w:rsidR="00E307E1" w:rsidRDefault="00E307E1" w:rsidP="00097161">
            <w:pPr>
              <w:spacing w:line="360" w:lineRule="auto"/>
              <w:jc w:val="center"/>
            </w:pPr>
            <w:r>
              <w:rPr>
                <w:rFonts w:hint="eastAsia"/>
              </w:rPr>
              <w:t>反对</w:t>
            </w:r>
          </w:p>
        </w:tc>
        <w:tc>
          <w:tcPr>
            <w:tcW w:w="1527" w:type="dxa"/>
            <w:shd w:val="clear" w:color="auto" w:fill="auto"/>
          </w:tcPr>
          <w:p w:rsidR="00E307E1" w:rsidRDefault="00E307E1" w:rsidP="00097161">
            <w:pPr>
              <w:spacing w:line="360" w:lineRule="auto"/>
              <w:jc w:val="center"/>
            </w:pPr>
            <w:r>
              <w:rPr>
                <w:rFonts w:hint="eastAsia"/>
              </w:rPr>
              <w:t>弃权</w:t>
            </w:r>
          </w:p>
        </w:tc>
      </w:tr>
      <w:tr w:rsidR="00E307E1" w:rsidTr="00097161">
        <w:tc>
          <w:tcPr>
            <w:tcW w:w="4143" w:type="dxa"/>
            <w:shd w:val="clear" w:color="auto" w:fill="auto"/>
          </w:tcPr>
          <w:p w:rsidR="00E307E1" w:rsidRDefault="00E307E1" w:rsidP="00097161">
            <w:pPr>
              <w:spacing w:line="360" w:lineRule="auto"/>
              <w:jc w:val="left"/>
            </w:pPr>
            <w:r>
              <w:rPr>
                <w:rFonts w:hint="eastAsia"/>
              </w:rPr>
              <w:t>《关于终止银华惠安定期开放混合型证券投资基金基金合同有关事项的议案》</w:t>
            </w:r>
          </w:p>
        </w:tc>
        <w:tc>
          <w:tcPr>
            <w:tcW w:w="1391" w:type="dxa"/>
            <w:shd w:val="clear" w:color="auto" w:fill="auto"/>
          </w:tcPr>
          <w:p w:rsidR="00E307E1" w:rsidRDefault="00E307E1" w:rsidP="00097161">
            <w:pPr>
              <w:spacing w:line="360" w:lineRule="auto"/>
              <w:jc w:val="left"/>
            </w:pPr>
          </w:p>
        </w:tc>
        <w:tc>
          <w:tcPr>
            <w:tcW w:w="1235" w:type="dxa"/>
            <w:shd w:val="clear" w:color="auto" w:fill="auto"/>
          </w:tcPr>
          <w:p w:rsidR="00E307E1" w:rsidRDefault="00E307E1" w:rsidP="00097161">
            <w:pPr>
              <w:spacing w:line="360" w:lineRule="auto"/>
              <w:jc w:val="left"/>
            </w:pPr>
          </w:p>
        </w:tc>
        <w:tc>
          <w:tcPr>
            <w:tcW w:w="1527" w:type="dxa"/>
            <w:shd w:val="clear" w:color="auto" w:fill="auto"/>
          </w:tcPr>
          <w:p w:rsidR="00E307E1" w:rsidRDefault="00E307E1" w:rsidP="00097161">
            <w:pPr>
              <w:spacing w:line="360" w:lineRule="auto"/>
              <w:jc w:val="left"/>
            </w:pPr>
          </w:p>
        </w:tc>
      </w:tr>
      <w:tr w:rsidR="00E307E1" w:rsidTr="00097161">
        <w:tc>
          <w:tcPr>
            <w:tcW w:w="8296" w:type="dxa"/>
            <w:gridSpan w:val="4"/>
            <w:shd w:val="clear" w:color="auto" w:fill="auto"/>
          </w:tcPr>
          <w:p w:rsidR="00E307E1" w:rsidRDefault="00E307E1" w:rsidP="00097161">
            <w:pPr>
              <w:spacing w:line="360" w:lineRule="auto"/>
              <w:ind w:firstLineChars="200" w:firstLine="420"/>
              <w:jc w:val="left"/>
            </w:pPr>
            <w:r>
              <w:rPr>
                <w:rFonts w:hint="eastAsia"/>
              </w:rPr>
              <w:t>基金份额持有人</w:t>
            </w:r>
            <w:r>
              <w:rPr>
                <w:rFonts w:hint="eastAsia"/>
              </w:rPr>
              <w:t>/</w:t>
            </w:r>
            <w:r>
              <w:rPr>
                <w:rFonts w:hint="eastAsia"/>
              </w:rPr>
              <w:t>受托人（代理人）签名或盖章</w:t>
            </w:r>
          </w:p>
          <w:p w:rsidR="00E307E1" w:rsidRDefault="00E307E1" w:rsidP="00097161">
            <w:pPr>
              <w:spacing w:line="360" w:lineRule="auto"/>
              <w:jc w:val="left"/>
            </w:pPr>
          </w:p>
          <w:p w:rsidR="00E307E1" w:rsidRDefault="00E307E1" w:rsidP="00097161">
            <w:pPr>
              <w:spacing w:line="360" w:lineRule="auto"/>
              <w:ind w:firstLineChars="200" w:firstLine="420"/>
              <w:jc w:val="left"/>
            </w:pPr>
            <w:r>
              <w:rPr>
                <w:rFonts w:hint="eastAsia"/>
              </w:rPr>
              <w:t>日期：</w:t>
            </w:r>
            <w:r>
              <w:t>2019</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E307E1" w:rsidTr="00097161">
        <w:tc>
          <w:tcPr>
            <w:tcW w:w="8296" w:type="dxa"/>
            <w:gridSpan w:val="4"/>
            <w:shd w:val="clear" w:color="auto" w:fill="auto"/>
          </w:tcPr>
          <w:p w:rsidR="00E307E1" w:rsidRDefault="00E307E1" w:rsidP="00097161">
            <w:pPr>
              <w:spacing w:line="360" w:lineRule="auto"/>
              <w:jc w:val="left"/>
            </w:pPr>
            <w:r>
              <w:rPr>
                <w:rFonts w:hint="eastAsia"/>
              </w:rPr>
              <w:t>说明：</w:t>
            </w:r>
            <w:r>
              <w:rPr>
                <w:rFonts w:hint="eastAsia"/>
              </w:rPr>
              <w:t>1</w:t>
            </w:r>
            <w:r>
              <w:rPr>
                <w:rFonts w:hint="eastAsia"/>
              </w:rPr>
              <w:t>、请就审议事项表示“同意”、“反对”或“弃权”，并在相应栏内画“√”，同一议案只能表示一项意见；</w:t>
            </w:r>
            <w:r>
              <w:rPr>
                <w:rFonts w:hint="eastAsia"/>
              </w:rPr>
              <w:t>2</w:t>
            </w:r>
            <w:r>
              <w:rPr>
                <w:rFonts w:hint="eastAsia"/>
              </w:rPr>
              <w:t>、“开放式基金账户号</w:t>
            </w:r>
            <w:r>
              <w:rPr>
                <w:rFonts w:hint="eastAsia"/>
              </w:rPr>
              <w:t>/</w:t>
            </w:r>
            <w:r>
              <w:rPr>
                <w:rFonts w:hint="eastAsia"/>
              </w:rPr>
              <w:t>上海证券账户号”，仅指持有本基金份额的开放式基金账户号或上海证券账户号，同一基金份额持有人拥有多个此类账户且需要按照不同账户持有基金份额分别行使表决权的，应当填写对应的开放式基金账户号</w:t>
            </w:r>
            <w:r>
              <w:rPr>
                <w:rFonts w:hint="eastAsia"/>
              </w:rPr>
              <w:t>/</w:t>
            </w:r>
            <w:r>
              <w:rPr>
                <w:rFonts w:hint="eastAsia"/>
              </w:rPr>
              <w:t>上海证券账户号；其他情况可不必填写。此处空白、多填、错填、无法识别等情况的，将被默认为代表此基金份额持有人所持有的本基金所有份额。</w:t>
            </w:r>
            <w:r>
              <w:t>3</w:t>
            </w:r>
            <w:r>
              <w:rPr>
                <w:rFonts w:hint="eastAsia"/>
              </w:rPr>
              <w:t>、如表决票上的表决意见未选、多选、无法辨认、表决意见空白、字迹模糊不清、相互矛盾或意愿无法判断，但其他各项符合会议通知规定的，视为弃权表决，计入有效表决票；并按“弃权”计入对应的表决结果，其所代表的基金份额计入参加本次基金份额持有人大会表决的基金份额总数。</w:t>
            </w:r>
            <w:r>
              <w:rPr>
                <w:rFonts w:hint="eastAsia"/>
              </w:rPr>
              <w:t>4</w:t>
            </w:r>
            <w:r>
              <w:rPr>
                <w:rFonts w:hint="eastAsia"/>
              </w:rPr>
              <w:t>、</w:t>
            </w:r>
            <w:r>
              <w:rPr>
                <w:rFonts w:hint="eastAsia"/>
              </w:rPr>
              <w:lastRenderedPageBreak/>
              <w:t>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r>
              <w:rPr>
                <w:rFonts w:hint="eastAsia"/>
              </w:rPr>
              <w:t>5</w:t>
            </w:r>
            <w:r>
              <w:rPr>
                <w:rFonts w:hint="eastAsia"/>
              </w:rPr>
              <w:t>、本表决票可从</w:t>
            </w:r>
            <w:r>
              <w:t>本基金管理人网站（</w:t>
            </w:r>
            <w:r>
              <w:rPr>
                <w:rFonts w:hint="eastAsia"/>
              </w:rPr>
              <w:t>http://www.yhfund.com.cn</w:t>
            </w:r>
            <w:r>
              <w:t>）</w:t>
            </w:r>
            <w:r>
              <w:rPr>
                <w:rFonts w:hint="eastAsia"/>
              </w:rPr>
              <w:t>下载、从报纸上剪裁、复印或按此格式打印。</w:t>
            </w:r>
          </w:p>
        </w:tc>
      </w:tr>
    </w:tbl>
    <w:p w:rsidR="00E307E1" w:rsidRDefault="00E307E1" w:rsidP="00E307E1">
      <w:pPr>
        <w:spacing w:line="360" w:lineRule="auto"/>
        <w:jc w:val="left"/>
        <w:sectPr w:rsidR="00E307E1">
          <w:pgSz w:w="11906" w:h="16838"/>
          <w:pgMar w:top="1440" w:right="1800" w:bottom="1440" w:left="1800" w:header="851" w:footer="992" w:gutter="0"/>
          <w:pgNumType w:start="1"/>
          <w:cols w:space="425"/>
          <w:docGrid w:type="lines" w:linePitch="312"/>
        </w:sectPr>
      </w:pPr>
    </w:p>
    <w:p w:rsidR="00E307E1" w:rsidRDefault="00E307E1" w:rsidP="00E307E1">
      <w:pPr>
        <w:pStyle w:val="1"/>
        <w:rPr>
          <w:color w:val="FFFFFF"/>
          <w:sz w:val="28"/>
        </w:rPr>
      </w:pPr>
      <w:r>
        <w:rPr>
          <w:rFonts w:hint="eastAsia"/>
          <w:sz w:val="28"/>
        </w:rPr>
        <w:lastRenderedPageBreak/>
        <w:t>附件三：</w:t>
      </w:r>
    </w:p>
    <w:p w:rsidR="00E307E1" w:rsidRDefault="00E307E1" w:rsidP="00E307E1">
      <w:pPr>
        <w:spacing w:line="360" w:lineRule="auto"/>
        <w:ind w:firstLineChars="200" w:firstLine="562"/>
        <w:jc w:val="center"/>
        <w:rPr>
          <w:b/>
          <w:sz w:val="28"/>
          <w:szCs w:val="28"/>
        </w:rPr>
      </w:pPr>
      <w:r>
        <w:rPr>
          <w:rFonts w:hint="eastAsia"/>
          <w:b/>
          <w:sz w:val="28"/>
          <w:szCs w:val="28"/>
        </w:rPr>
        <w:t>授权委托书</w:t>
      </w:r>
    </w:p>
    <w:p w:rsidR="00E307E1" w:rsidRDefault="00E307E1" w:rsidP="00E307E1">
      <w:pPr>
        <w:spacing w:line="360" w:lineRule="auto"/>
        <w:ind w:firstLineChars="200" w:firstLine="420"/>
        <w:jc w:val="left"/>
      </w:pPr>
      <w:r>
        <w:rPr>
          <w:rFonts w:hint="eastAsia"/>
        </w:rPr>
        <w:t>兹全权委托</w:t>
      </w:r>
      <w:r>
        <w:rPr>
          <w:rFonts w:hint="eastAsia"/>
          <w:u w:val="single"/>
        </w:rPr>
        <w:t xml:space="preserve">    </w:t>
      </w:r>
      <w:r>
        <w:rPr>
          <w:u w:val="single"/>
        </w:rPr>
        <w:t xml:space="preserve">        </w:t>
      </w:r>
      <w:r>
        <w:rPr>
          <w:rFonts w:hint="eastAsia"/>
        </w:rPr>
        <w:t>先生／女士或</w:t>
      </w:r>
      <w:r>
        <w:rPr>
          <w:rFonts w:hint="eastAsia"/>
          <w:u w:val="single"/>
        </w:rPr>
        <w:t xml:space="preserve">    </w:t>
      </w:r>
      <w:r>
        <w:rPr>
          <w:u w:val="single"/>
        </w:rPr>
        <w:t xml:space="preserve">        </w:t>
      </w:r>
      <w:r>
        <w:rPr>
          <w:rFonts w:hint="eastAsia"/>
        </w:rPr>
        <w:t>单位代表本人（或本机构）参加投票截止日为</w:t>
      </w:r>
      <w:r>
        <w:t>2019</w:t>
      </w:r>
      <w:r>
        <w:t>年</w:t>
      </w:r>
      <w:r>
        <w:t>4</w:t>
      </w:r>
      <w:r>
        <w:t>月</w:t>
      </w:r>
      <w:r>
        <w:t>1</w:t>
      </w:r>
      <w:r>
        <w:t>日</w:t>
      </w:r>
      <w:r>
        <w:rPr>
          <w:rFonts w:hint="eastAsia"/>
        </w:rPr>
        <w:t>的以通讯方式召开的银华惠安定期开放混合型证券投资基金基金份额持有人大会，并代为全权行使所有议案的表决权。表决意见以受托人的表决意见为准。</w:t>
      </w:r>
    </w:p>
    <w:p w:rsidR="00E307E1" w:rsidRDefault="00E307E1" w:rsidP="00E307E1">
      <w:pPr>
        <w:spacing w:line="360" w:lineRule="auto"/>
        <w:ind w:firstLineChars="200" w:firstLine="420"/>
        <w:jc w:val="left"/>
      </w:pPr>
      <w:r>
        <w:rPr>
          <w:rFonts w:hint="eastAsia"/>
        </w:rPr>
        <w:t>若在法定时间内就同一议案重新召开银华惠安定期开放混合型证券投资基金基金份额持有人大会，除本人（或本机构）重新作出授权外，本次基金份额持有人大会授权期间本人（或本机构）做出的各类授权依然有效。</w:t>
      </w:r>
    </w:p>
    <w:p w:rsidR="00E307E1" w:rsidRDefault="00E307E1" w:rsidP="00E307E1">
      <w:pPr>
        <w:spacing w:line="360" w:lineRule="auto"/>
        <w:ind w:firstLineChars="200" w:firstLine="420"/>
        <w:jc w:val="left"/>
      </w:pPr>
    </w:p>
    <w:p w:rsidR="00E307E1" w:rsidRDefault="00E307E1" w:rsidP="00E307E1">
      <w:pPr>
        <w:spacing w:line="360" w:lineRule="auto"/>
        <w:ind w:firstLineChars="200" w:firstLine="420"/>
        <w:jc w:val="left"/>
      </w:pPr>
      <w:r>
        <w:rPr>
          <w:rFonts w:hint="eastAsia"/>
        </w:rPr>
        <w:t>委托人姓名或名称（签字</w:t>
      </w:r>
      <w:r>
        <w:rPr>
          <w:rFonts w:hint="eastAsia"/>
        </w:rPr>
        <w:t>/</w:t>
      </w:r>
      <w:r>
        <w:rPr>
          <w:rFonts w:hint="eastAsia"/>
        </w:rPr>
        <w:t>盖章）：</w:t>
      </w:r>
    </w:p>
    <w:p w:rsidR="00E307E1" w:rsidRDefault="00E307E1" w:rsidP="00E307E1">
      <w:pPr>
        <w:spacing w:line="360" w:lineRule="auto"/>
        <w:ind w:firstLineChars="200" w:firstLine="420"/>
        <w:jc w:val="left"/>
      </w:pPr>
      <w:r>
        <w:rPr>
          <w:rFonts w:hint="eastAsia"/>
        </w:rPr>
        <w:t>委托人证件号码（身份证件号</w:t>
      </w:r>
      <w:r>
        <w:rPr>
          <w:rFonts w:hint="eastAsia"/>
        </w:rPr>
        <w:t>/</w:t>
      </w:r>
      <w:r>
        <w:rPr>
          <w:rFonts w:hint="eastAsia"/>
        </w:rPr>
        <w:t>营业执照注册号）：</w:t>
      </w:r>
    </w:p>
    <w:p w:rsidR="00E307E1" w:rsidRDefault="00E307E1" w:rsidP="00E307E1">
      <w:pPr>
        <w:spacing w:line="360" w:lineRule="auto"/>
        <w:ind w:firstLineChars="200" w:firstLine="420"/>
        <w:jc w:val="left"/>
      </w:pPr>
      <w:r>
        <w:rPr>
          <w:rFonts w:hint="eastAsia"/>
        </w:rPr>
        <w:t>委托人开放式基金账户号</w:t>
      </w:r>
      <w:r>
        <w:rPr>
          <w:rFonts w:hint="eastAsia"/>
        </w:rPr>
        <w:t>/</w:t>
      </w:r>
      <w:r>
        <w:rPr>
          <w:rFonts w:hint="eastAsia"/>
        </w:rPr>
        <w:t>上海证券账户号：</w:t>
      </w:r>
    </w:p>
    <w:p w:rsidR="00E307E1" w:rsidRDefault="00E307E1" w:rsidP="00E307E1">
      <w:pPr>
        <w:spacing w:line="360" w:lineRule="auto"/>
        <w:ind w:firstLineChars="200" w:firstLine="420"/>
        <w:jc w:val="left"/>
      </w:pPr>
    </w:p>
    <w:p w:rsidR="00E307E1" w:rsidRDefault="00E307E1" w:rsidP="00E307E1">
      <w:pPr>
        <w:spacing w:line="360" w:lineRule="auto"/>
        <w:ind w:firstLineChars="200" w:firstLine="420"/>
        <w:jc w:val="left"/>
      </w:pPr>
      <w:r>
        <w:rPr>
          <w:rFonts w:hint="eastAsia"/>
        </w:rPr>
        <w:t>受托人（代理人）姓名或名称（签字</w:t>
      </w:r>
      <w:r>
        <w:rPr>
          <w:rFonts w:hint="eastAsia"/>
        </w:rPr>
        <w:t>/</w:t>
      </w:r>
      <w:r>
        <w:rPr>
          <w:rFonts w:hint="eastAsia"/>
        </w:rPr>
        <w:t>盖章）：</w:t>
      </w:r>
    </w:p>
    <w:p w:rsidR="00E307E1" w:rsidRDefault="00E307E1" w:rsidP="00E307E1">
      <w:pPr>
        <w:spacing w:line="360" w:lineRule="auto"/>
        <w:ind w:firstLineChars="200" w:firstLine="420"/>
        <w:jc w:val="left"/>
      </w:pPr>
      <w:r>
        <w:rPr>
          <w:rFonts w:hint="eastAsia"/>
        </w:rPr>
        <w:t>受托人证件号码（身份证件号</w:t>
      </w:r>
      <w:r>
        <w:rPr>
          <w:rFonts w:hint="eastAsia"/>
        </w:rPr>
        <w:t>/</w:t>
      </w:r>
      <w:r>
        <w:rPr>
          <w:rFonts w:hint="eastAsia"/>
        </w:rPr>
        <w:t>营业执照注册号）：</w:t>
      </w:r>
    </w:p>
    <w:p w:rsidR="00E307E1" w:rsidRDefault="00E307E1" w:rsidP="00E307E1">
      <w:pPr>
        <w:spacing w:line="360" w:lineRule="auto"/>
        <w:ind w:firstLineChars="200" w:firstLine="420"/>
        <w:jc w:val="left"/>
      </w:pPr>
      <w:r>
        <w:rPr>
          <w:rFonts w:hint="eastAsia"/>
        </w:rPr>
        <w:t>委托日期：</w:t>
      </w:r>
      <w:r>
        <w:t>2019</w:t>
      </w:r>
      <w:r>
        <w:rPr>
          <w:rFonts w:hint="eastAsia"/>
        </w:rPr>
        <w:t>年</w:t>
      </w:r>
      <w:r>
        <w:t xml:space="preserve">  </w:t>
      </w:r>
      <w:r>
        <w:rPr>
          <w:rFonts w:hint="eastAsia"/>
        </w:rPr>
        <w:t>月</w:t>
      </w:r>
      <w:r>
        <w:rPr>
          <w:rFonts w:hint="eastAsia"/>
        </w:rPr>
        <w:t xml:space="preserve">  </w:t>
      </w:r>
      <w:r>
        <w:rPr>
          <w:rFonts w:hint="eastAsia"/>
        </w:rPr>
        <w:t>日</w:t>
      </w:r>
    </w:p>
    <w:p w:rsidR="00E307E1" w:rsidRDefault="00E307E1" w:rsidP="00E307E1">
      <w:pPr>
        <w:spacing w:line="360" w:lineRule="auto"/>
        <w:ind w:firstLineChars="200" w:firstLine="420"/>
        <w:rPr>
          <w:sz w:val="24"/>
        </w:rPr>
      </w:pPr>
      <w:r>
        <w:rPr>
          <w:rFonts w:hint="eastAsia"/>
        </w:rPr>
        <w:t>附注：</w:t>
      </w:r>
      <w:r>
        <w:rPr>
          <w:rFonts w:hint="eastAsia"/>
        </w:rPr>
        <w:t>1</w:t>
      </w:r>
      <w:r>
        <w:rPr>
          <w:rFonts w:hint="eastAsia"/>
        </w:rPr>
        <w:t>、此授权委托书可从报纸上剪裁、复印或按以上格式自制，在填写完整并签字盖章后均为有效。</w:t>
      </w:r>
      <w:r>
        <w:rPr>
          <w:rFonts w:hint="eastAsia"/>
        </w:rPr>
        <w:t>2</w:t>
      </w:r>
      <w:r>
        <w:rPr>
          <w:rFonts w:hint="eastAsia"/>
        </w:rPr>
        <w:t>、“开放式基金账户号</w:t>
      </w:r>
      <w:r>
        <w:rPr>
          <w:rFonts w:hint="eastAsia"/>
        </w:rPr>
        <w:t>/</w:t>
      </w:r>
      <w:r>
        <w:rPr>
          <w:rFonts w:hint="eastAsia"/>
        </w:rPr>
        <w:t>上海证券账户号”，仅指持有本基金份额的基金账户号，同一基金份额持有人拥有多个此类账户且需要按照不同账户持有基金份额分别行使表决权的，应当填写对应的开放式基金账户卡号</w:t>
      </w:r>
      <w:r>
        <w:rPr>
          <w:rFonts w:hint="eastAsia"/>
        </w:rPr>
        <w:t>/</w:t>
      </w:r>
      <w:r>
        <w:rPr>
          <w:rFonts w:hint="eastAsia"/>
        </w:rPr>
        <w:t>上海证券账户号；其他情况可不必填写。此处空白、多填、错填、无法识别等情况的，将被默认为代表此基金份额持有人所持有的本基金所有份额参会和进行投票。</w:t>
      </w:r>
      <w:r>
        <w:rPr>
          <w:rFonts w:hint="eastAsia"/>
        </w:rPr>
        <w:t>3</w:t>
      </w:r>
      <w:r>
        <w:rPr>
          <w:rFonts w:hint="eastAsia"/>
        </w:rPr>
        <w:t>、受托人的表决意见代表委托人本基金账户下全部基金份额的表决意见。</w:t>
      </w:r>
    </w:p>
    <w:p w:rsidR="00E307E1" w:rsidRPr="00E307E1" w:rsidRDefault="00E307E1" w:rsidP="00DF7B2D">
      <w:pPr>
        <w:spacing w:line="360" w:lineRule="auto"/>
        <w:ind w:firstLineChars="236" w:firstLine="496"/>
        <w:jc w:val="right"/>
      </w:pPr>
    </w:p>
    <w:sectPr w:rsidR="00E307E1" w:rsidRPr="00E307E1" w:rsidSect="008B4724">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5804" w:rsidRDefault="00C75804">
      <w:r>
        <w:separator/>
      </w:r>
    </w:p>
  </w:endnote>
  <w:endnote w:type="continuationSeparator" w:id="1">
    <w:p w:rsidR="00C75804" w:rsidRDefault="00C758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07E1" w:rsidRDefault="008B4724">
    <w:pPr>
      <w:pStyle w:val="a7"/>
    </w:pPr>
    <w:r>
      <w:rPr>
        <w:noProof/>
      </w:rPr>
      <w:pict>
        <v:shapetype id="_x0000_t202" coordsize="21600,21600" o:spt="202" path="m,l,21600r21600,l21600,xe">
          <v:stroke joinstyle="miter"/>
          <v:path gradientshapeok="t" o:connecttype="rect"/>
        </v:shapetype>
        <v:shape id="文本框 2" o:spid="_x0000_s4098" type="#_x0000_t202" style="position:absolute;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E307E1" w:rsidRDefault="008B4724">
                <w:pPr>
                  <w:pStyle w:val="a7"/>
                </w:pPr>
                <w:r>
                  <w:rPr>
                    <w:rFonts w:hint="eastAsia"/>
                  </w:rPr>
                  <w:fldChar w:fldCharType="begin"/>
                </w:r>
                <w:r w:rsidR="00E307E1">
                  <w:rPr>
                    <w:rFonts w:hint="eastAsia"/>
                  </w:rPr>
                  <w:instrText xml:space="preserve"> PAGE  \* MERGEFORMAT </w:instrText>
                </w:r>
                <w:r>
                  <w:rPr>
                    <w:rFonts w:hint="eastAsia"/>
                  </w:rPr>
                  <w:fldChar w:fldCharType="separate"/>
                </w:r>
                <w:r w:rsidR="008C18D7">
                  <w:rPr>
                    <w:noProof/>
                  </w:rPr>
                  <w:t>2</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885" w:rsidRDefault="008B4724">
    <w:pPr>
      <w:pStyle w:val="a7"/>
    </w:pPr>
    <w:r>
      <w:rPr>
        <w:noProof/>
      </w:rPr>
      <w:pict>
        <v:shapetype id="_x0000_t202" coordsize="21600,21600" o:spt="202" path="m,l,21600r21600,l21600,xe">
          <v:stroke joinstyle="miter"/>
          <v:path gradientshapeok="t" o:connecttype="rect"/>
        </v:shapetype>
        <v:shape id="文本框 1" o:spid="_x0000_s4097" type="#_x0000_t202" style="position:absolute;margin-left:0;margin-top:0;width:2in;height:2in;z-index:25165824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503885" w:rsidRDefault="008B4724">
                <w:pPr>
                  <w:pStyle w:val="a7"/>
                </w:pPr>
                <w:r>
                  <w:rPr>
                    <w:rFonts w:hint="eastAsia"/>
                  </w:rPr>
                  <w:fldChar w:fldCharType="begin"/>
                </w:r>
                <w:r w:rsidR="005B4AA1">
                  <w:rPr>
                    <w:rFonts w:hint="eastAsia"/>
                  </w:rPr>
                  <w:instrText xml:space="preserve"> PAGE  \* MERGEFORMAT </w:instrText>
                </w:r>
                <w:r>
                  <w:rPr>
                    <w:rFonts w:hint="eastAsia"/>
                  </w:rPr>
                  <w:fldChar w:fldCharType="separate"/>
                </w:r>
                <w:r w:rsidR="008C18D7">
                  <w:rPr>
                    <w:noProof/>
                  </w:rPr>
                  <w:t>3</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5804" w:rsidRDefault="00C75804">
      <w:r>
        <w:separator/>
      </w:r>
    </w:p>
  </w:footnote>
  <w:footnote w:type="continuationSeparator" w:id="1">
    <w:p w:rsidR="00C75804" w:rsidRDefault="00C758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868E1"/>
    <w:rsid w:val="00000407"/>
    <w:rsid w:val="000045D0"/>
    <w:rsid w:val="000065E4"/>
    <w:rsid w:val="00007E7E"/>
    <w:rsid w:val="00011ACB"/>
    <w:rsid w:val="000129A5"/>
    <w:rsid w:val="000260EF"/>
    <w:rsid w:val="00027C0E"/>
    <w:rsid w:val="00043111"/>
    <w:rsid w:val="000440BE"/>
    <w:rsid w:val="00055A23"/>
    <w:rsid w:val="000830EB"/>
    <w:rsid w:val="00084021"/>
    <w:rsid w:val="000852D7"/>
    <w:rsid w:val="00091AA1"/>
    <w:rsid w:val="00093FD2"/>
    <w:rsid w:val="000B209B"/>
    <w:rsid w:val="000D3BCE"/>
    <w:rsid w:val="000D4994"/>
    <w:rsid w:val="000D6E0A"/>
    <w:rsid w:val="000D7D80"/>
    <w:rsid w:val="000F42D6"/>
    <w:rsid w:val="000F5F3E"/>
    <w:rsid w:val="000F72E5"/>
    <w:rsid w:val="00102356"/>
    <w:rsid w:val="001506E1"/>
    <w:rsid w:val="00152656"/>
    <w:rsid w:val="0016162D"/>
    <w:rsid w:val="00172A79"/>
    <w:rsid w:val="001827F3"/>
    <w:rsid w:val="0018482E"/>
    <w:rsid w:val="00184E0E"/>
    <w:rsid w:val="001853DE"/>
    <w:rsid w:val="00185C9B"/>
    <w:rsid w:val="001868E1"/>
    <w:rsid w:val="001901D6"/>
    <w:rsid w:val="0019646D"/>
    <w:rsid w:val="001A2B57"/>
    <w:rsid w:val="001A7304"/>
    <w:rsid w:val="001B09AF"/>
    <w:rsid w:val="001B1524"/>
    <w:rsid w:val="001B40F8"/>
    <w:rsid w:val="001B5D36"/>
    <w:rsid w:val="001B7C79"/>
    <w:rsid w:val="001D2CFC"/>
    <w:rsid w:val="001E599B"/>
    <w:rsid w:val="001F596C"/>
    <w:rsid w:val="00205D4B"/>
    <w:rsid w:val="00207B2F"/>
    <w:rsid w:val="002117BA"/>
    <w:rsid w:val="00217F03"/>
    <w:rsid w:val="002213C5"/>
    <w:rsid w:val="002254CB"/>
    <w:rsid w:val="00226FD3"/>
    <w:rsid w:val="002307DB"/>
    <w:rsid w:val="00237EF1"/>
    <w:rsid w:val="00247674"/>
    <w:rsid w:val="00267AAE"/>
    <w:rsid w:val="00274679"/>
    <w:rsid w:val="002756CF"/>
    <w:rsid w:val="002775C7"/>
    <w:rsid w:val="002829D7"/>
    <w:rsid w:val="00283E58"/>
    <w:rsid w:val="00285A94"/>
    <w:rsid w:val="002903AC"/>
    <w:rsid w:val="00290DE9"/>
    <w:rsid w:val="002A1BC4"/>
    <w:rsid w:val="002A4DE7"/>
    <w:rsid w:val="002A5436"/>
    <w:rsid w:val="002A5BAD"/>
    <w:rsid w:val="002B1829"/>
    <w:rsid w:val="002C380C"/>
    <w:rsid w:val="002C5032"/>
    <w:rsid w:val="002D6995"/>
    <w:rsid w:val="002E476D"/>
    <w:rsid w:val="002E4CCC"/>
    <w:rsid w:val="00316821"/>
    <w:rsid w:val="003246FC"/>
    <w:rsid w:val="00337168"/>
    <w:rsid w:val="003443EC"/>
    <w:rsid w:val="003509DD"/>
    <w:rsid w:val="00351593"/>
    <w:rsid w:val="00366404"/>
    <w:rsid w:val="00376805"/>
    <w:rsid w:val="003802C2"/>
    <w:rsid w:val="003840F4"/>
    <w:rsid w:val="003849AD"/>
    <w:rsid w:val="00390A67"/>
    <w:rsid w:val="003A28B3"/>
    <w:rsid w:val="003B0BF1"/>
    <w:rsid w:val="003B6061"/>
    <w:rsid w:val="003B6D92"/>
    <w:rsid w:val="003B725C"/>
    <w:rsid w:val="003C048A"/>
    <w:rsid w:val="003C2DD2"/>
    <w:rsid w:val="003C3C79"/>
    <w:rsid w:val="003C58CD"/>
    <w:rsid w:val="003C5E11"/>
    <w:rsid w:val="003D528F"/>
    <w:rsid w:val="003E5CC1"/>
    <w:rsid w:val="003F6AAB"/>
    <w:rsid w:val="003F7748"/>
    <w:rsid w:val="00404769"/>
    <w:rsid w:val="00410461"/>
    <w:rsid w:val="00411CD8"/>
    <w:rsid w:val="00427615"/>
    <w:rsid w:val="00430645"/>
    <w:rsid w:val="00431DB9"/>
    <w:rsid w:val="00433540"/>
    <w:rsid w:val="00433A20"/>
    <w:rsid w:val="004360F2"/>
    <w:rsid w:val="004423E6"/>
    <w:rsid w:val="004602C5"/>
    <w:rsid w:val="004703EE"/>
    <w:rsid w:val="004710B9"/>
    <w:rsid w:val="00472AED"/>
    <w:rsid w:val="00476419"/>
    <w:rsid w:val="00477CAB"/>
    <w:rsid w:val="00486CF2"/>
    <w:rsid w:val="004958CD"/>
    <w:rsid w:val="00496961"/>
    <w:rsid w:val="004A4350"/>
    <w:rsid w:val="004A6418"/>
    <w:rsid w:val="004B3B59"/>
    <w:rsid w:val="004B506B"/>
    <w:rsid w:val="004B7854"/>
    <w:rsid w:val="004C271A"/>
    <w:rsid w:val="004C278C"/>
    <w:rsid w:val="004D4D65"/>
    <w:rsid w:val="004E5A7F"/>
    <w:rsid w:val="004F1698"/>
    <w:rsid w:val="004F3249"/>
    <w:rsid w:val="004F527F"/>
    <w:rsid w:val="00503885"/>
    <w:rsid w:val="00506F8E"/>
    <w:rsid w:val="00507F88"/>
    <w:rsid w:val="005202EC"/>
    <w:rsid w:val="00522841"/>
    <w:rsid w:val="0054343E"/>
    <w:rsid w:val="00543729"/>
    <w:rsid w:val="00547BC5"/>
    <w:rsid w:val="0055331A"/>
    <w:rsid w:val="0055471D"/>
    <w:rsid w:val="00562FA1"/>
    <w:rsid w:val="00566853"/>
    <w:rsid w:val="00570EB2"/>
    <w:rsid w:val="00575107"/>
    <w:rsid w:val="00582AC5"/>
    <w:rsid w:val="005A27FC"/>
    <w:rsid w:val="005B0ECB"/>
    <w:rsid w:val="005B4AA1"/>
    <w:rsid w:val="005C2827"/>
    <w:rsid w:val="005D72E3"/>
    <w:rsid w:val="00601F85"/>
    <w:rsid w:val="00604686"/>
    <w:rsid w:val="00610B64"/>
    <w:rsid w:val="006227ED"/>
    <w:rsid w:val="0062435C"/>
    <w:rsid w:val="00626552"/>
    <w:rsid w:val="006306DF"/>
    <w:rsid w:val="006316C7"/>
    <w:rsid w:val="00640858"/>
    <w:rsid w:val="00640D3C"/>
    <w:rsid w:val="006556F5"/>
    <w:rsid w:val="0067229B"/>
    <w:rsid w:val="0069548C"/>
    <w:rsid w:val="006A7648"/>
    <w:rsid w:val="006A7EEE"/>
    <w:rsid w:val="006B0924"/>
    <w:rsid w:val="006B21E3"/>
    <w:rsid w:val="006B3E0E"/>
    <w:rsid w:val="006D46FB"/>
    <w:rsid w:val="006D5D32"/>
    <w:rsid w:val="006D62F1"/>
    <w:rsid w:val="006E7483"/>
    <w:rsid w:val="006F3A37"/>
    <w:rsid w:val="006F6C84"/>
    <w:rsid w:val="007042F9"/>
    <w:rsid w:val="00706C0F"/>
    <w:rsid w:val="00707717"/>
    <w:rsid w:val="00716728"/>
    <w:rsid w:val="0073391C"/>
    <w:rsid w:val="00743283"/>
    <w:rsid w:val="00743378"/>
    <w:rsid w:val="00743B17"/>
    <w:rsid w:val="00756A79"/>
    <w:rsid w:val="00757DB6"/>
    <w:rsid w:val="0076580D"/>
    <w:rsid w:val="007659F0"/>
    <w:rsid w:val="00766ADE"/>
    <w:rsid w:val="00777E87"/>
    <w:rsid w:val="00777FE3"/>
    <w:rsid w:val="007B220E"/>
    <w:rsid w:val="007B54D0"/>
    <w:rsid w:val="007B5DC7"/>
    <w:rsid w:val="007C3CB5"/>
    <w:rsid w:val="007E1FF2"/>
    <w:rsid w:val="007E590D"/>
    <w:rsid w:val="007E660A"/>
    <w:rsid w:val="007E6CF9"/>
    <w:rsid w:val="007F33DC"/>
    <w:rsid w:val="007F4A26"/>
    <w:rsid w:val="00800986"/>
    <w:rsid w:val="00800B39"/>
    <w:rsid w:val="00824DA8"/>
    <w:rsid w:val="00836184"/>
    <w:rsid w:val="00836456"/>
    <w:rsid w:val="00837AAA"/>
    <w:rsid w:val="008440FA"/>
    <w:rsid w:val="00847670"/>
    <w:rsid w:val="00853FA2"/>
    <w:rsid w:val="00856895"/>
    <w:rsid w:val="00876BAA"/>
    <w:rsid w:val="0088460A"/>
    <w:rsid w:val="00891331"/>
    <w:rsid w:val="008A2465"/>
    <w:rsid w:val="008A481F"/>
    <w:rsid w:val="008A6A21"/>
    <w:rsid w:val="008B4724"/>
    <w:rsid w:val="008B76D4"/>
    <w:rsid w:val="008C0AFF"/>
    <w:rsid w:val="008C18D7"/>
    <w:rsid w:val="008C248E"/>
    <w:rsid w:val="008C2B97"/>
    <w:rsid w:val="008C67D9"/>
    <w:rsid w:val="00910B5F"/>
    <w:rsid w:val="00914759"/>
    <w:rsid w:val="0092336E"/>
    <w:rsid w:val="00924EE2"/>
    <w:rsid w:val="00926C9B"/>
    <w:rsid w:val="00932765"/>
    <w:rsid w:val="00946E1D"/>
    <w:rsid w:val="009530A1"/>
    <w:rsid w:val="009558F6"/>
    <w:rsid w:val="00963676"/>
    <w:rsid w:val="0096507B"/>
    <w:rsid w:val="00965D08"/>
    <w:rsid w:val="009666C5"/>
    <w:rsid w:val="009721E8"/>
    <w:rsid w:val="00990BDC"/>
    <w:rsid w:val="00993E2A"/>
    <w:rsid w:val="009B43BC"/>
    <w:rsid w:val="009C0F37"/>
    <w:rsid w:val="009C3A50"/>
    <w:rsid w:val="009C491C"/>
    <w:rsid w:val="009C6FE6"/>
    <w:rsid w:val="009D0F45"/>
    <w:rsid w:val="009D1BF5"/>
    <w:rsid w:val="009D2BDC"/>
    <w:rsid w:val="009E2201"/>
    <w:rsid w:val="009E45EB"/>
    <w:rsid w:val="009E509E"/>
    <w:rsid w:val="009E6AEC"/>
    <w:rsid w:val="009E7C90"/>
    <w:rsid w:val="00A00114"/>
    <w:rsid w:val="00A04FCE"/>
    <w:rsid w:val="00A07D02"/>
    <w:rsid w:val="00A1211A"/>
    <w:rsid w:val="00A14D86"/>
    <w:rsid w:val="00A27E15"/>
    <w:rsid w:val="00A34F93"/>
    <w:rsid w:val="00A4104E"/>
    <w:rsid w:val="00A52F98"/>
    <w:rsid w:val="00A74348"/>
    <w:rsid w:val="00A9162C"/>
    <w:rsid w:val="00AA1523"/>
    <w:rsid w:val="00AB6896"/>
    <w:rsid w:val="00AB6DAF"/>
    <w:rsid w:val="00AD3817"/>
    <w:rsid w:val="00AD4CD9"/>
    <w:rsid w:val="00AF155A"/>
    <w:rsid w:val="00B0299C"/>
    <w:rsid w:val="00B060E4"/>
    <w:rsid w:val="00B07ACE"/>
    <w:rsid w:val="00B07BC9"/>
    <w:rsid w:val="00B10231"/>
    <w:rsid w:val="00B168BE"/>
    <w:rsid w:val="00B25FBE"/>
    <w:rsid w:val="00B3250B"/>
    <w:rsid w:val="00B368A3"/>
    <w:rsid w:val="00B4317D"/>
    <w:rsid w:val="00B527A6"/>
    <w:rsid w:val="00B53A60"/>
    <w:rsid w:val="00B5681B"/>
    <w:rsid w:val="00B63432"/>
    <w:rsid w:val="00B707A4"/>
    <w:rsid w:val="00B81801"/>
    <w:rsid w:val="00B91C7F"/>
    <w:rsid w:val="00B9676B"/>
    <w:rsid w:val="00B9690F"/>
    <w:rsid w:val="00B97542"/>
    <w:rsid w:val="00BA7802"/>
    <w:rsid w:val="00BB38D7"/>
    <w:rsid w:val="00BC025C"/>
    <w:rsid w:val="00BD0755"/>
    <w:rsid w:val="00BD1EFC"/>
    <w:rsid w:val="00BE2FE4"/>
    <w:rsid w:val="00BF213E"/>
    <w:rsid w:val="00BF4B68"/>
    <w:rsid w:val="00C00971"/>
    <w:rsid w:val="00C05F00"/>
    <w:rsid w:val="00C16B1A"/>
    <w:rsid w:val="00C24906"/>
    <w:rsid w:val="00C32F57"/>
    <w:rsid w:val="00C3530B"/>
    <w:rsid w:val="00C508F5"/>
    <w:rsid w:val="00C52C53"/>
    <w:rsid w:val="00C538EC"/>
    <w:rsid w:val="00C55357"/>
    <w:rsid w:val="00C55961"/>
    <w:rsid w:val="00C60F8A"/>
    <w:rsid w:val="00C66337"/>
    <w:rsid w:val="00C75804"/>
    <w:rsid w:val="00C83C35"/>
    <w:rsid w:val="00C8530A"/>
    <w:rsid w:val="00C92202"/>
    <w:rsid w:val="00C9330E"/>
    <w:rsid w:val="00CA3DE3"/>
    <w:rsid w:val="00CA655E"/>
    <w:rsid w:val="00CC3977"/>
    <w:rsid w:val="00CD2829"/>
    <w:rsid w:val="00CD4A0F"/>
    <w:rsid w:val="00CF1206"/>
    <w:rsid w:val="00CF2B77"/>
    <w:rsid w:val="00CF4BC5"/>
    <w:rsid w:val="00CF689F"/>
    <w:rsid w:val="00CF7A99"/>
    <w:rsid w:val="00D01DB4"/>
    <w:rsid w:val="00D07BAF"/>
    <w:rsid w:val="00D10A3E"/>
    <w:rsid w:val="00D10C9F"/>
    <w:rsid w:val="00D23728"/>
    <w:rsid w:val="00D25A77"/>
    <w:rsid w:val="00D33241"/>
    <w:rsid w:val="00D406AF"/>
    <w:rsid w:val="00D52A3D"/>
    <w:rsid w:val="00D531CF"/>
    <w:rsid w:val="00D552AF"/>
    <w:rsid w:val="00D63AB7"/>
    <w:rsid w:val="00D8453C"/>
    <w:rsid w:val="00D84E9D"/>
    <w:rsid w:val="00DA20F2"/>
    <w:rsid w:val="00DA3C97"/>
    <w:rsid w:val="00DC1171"/>
    <w:rsid w:val="00DD32F1"/>
    <w:rsid w:val="00DD5D86"/>
    <w:rsid w:val="00DE3A08"/>
    <w:rsid w:val="00DF6104"/>
    <w:rsid w:val="00DF7B2D"/>
    <w:rsid w:val="00E04C88"/>
    <w:rsid w:val="00E16382"/>
    <w:rsid w:val="00E23F55"/>
    <w:rsid w:val="00E252C3"/>
    <w:rsid w:val="00E307E1"/>
    <w:rsid w:val="00E456BF"/>
    <w:rsid w:val="00E5042C"/>
    <w:rsid w:val="00E50741"/>
    <w:rsid w:val="00E51257"/>
    <w:rsid w:val="00E56BCB"/>
    <w:rsid w:val="00E61609"/>
    <w:rsid w:val="00E63263"/>
    <w:rsid w:val="00E74F95"/>
    <w:rsid w:val="00E92627"/>
    <w:rsid w:val="00E963C7"/>
    <w:rsid w:val="00EA26C3"/>
    <w:rsid w:val="00EA515B"/>
    <w:rsid w:val="00EA5352"/>
    <w:rsid w:val="00EF3BBB"/>
    <w:rsid w:val="00EF795D"/>
    <w:rsid w:val="00F04808"/>
    <w:rsid w:val="00F1595A"/>
    <w:rsid w:val="00F15A99"/>
    <w:rsid w:val="00F17614"/>
    <w:rsid w:val="00F21640"/>
    <w:rsid w:val="00F25118"/>
    <w:rsid w:val="00F265E5"/>
    <w:rsid w:val="00F32B95"/>
    <w:rsid w:val="00F37AE8"/>
    <w:rsid w:val="00F45205"/>
    <w:rsid w:val="00F46BBC"/>
    <w:rsid w:val="00F47202"/>
    <w:rsid w:val="00F50AAE"/>
    <w:rsid w:val="00F600D4"/>
    <w:rsid w:val="00F726FA"/>
    <w:rsid w:val="00F81709"/>
    <w:rsid w:val="00F81E45"/>
    <w:rsid w:val="00FA52C3"/>
    <w:rsid w:val="00FB3FB6"/>
    <w:rsid w:val="00FB4491"/>
    <w:rsid w:val="00FB7C97"/>
    <w:rsid w:val="00FC0BAA"/>
    <w:rsid w:val="00FC2F6F"/>
    <w:rsid w:val="00FC4AD5"/>
    <w:rsid w:val="00FD039F"/>
    <w:rsid w:val="00FD3963"/>
    <w:rsid w:val="00FF0D68"/>
    <w:rsid w:val="00FF1149"/>
    <w:rsid w:val="00FF1CCF"/>
    <w:rsid w:val="00FF594E"/>
    <w:rsid w:val="00FF5EB9"/>
    <w:rsid w:val="00FF7968"/>
    <w:rsid w:val="02234ACD"/>
    <w:rsid w:val="050C2559"/>
    <w:rsid w:val="07D23C73"/>
    <w:rsid w:val="0B4D63B3"/>
    <w:rsid w:val="0C5F187B"/>
    <w:rsid w:val="0CF571AC"/>
    <w:rsid w:val="0D6649EF"/>
    <w:rsid w:val="15E375B2"/>
    <w:rsid w:val="17A2084A"/>
    <w:rsid w:val="17CE351A"/>
    <w:rsid w:val="181338AA"/>
    <w:rsid w:val="1BDF08A8"/>
    <w:rsid w:val="1F8F481C"/>
    <w:rsid w:val="224474AE"/>
    <w:rsid w:val="250D1C8C"/>
    <w:rsid w:val="26DB5FC0"/>
    <w:rsid w:val="27581C6B"/>
    <w:rsid w:val="275D10AC"/>
    <w:rsid w:val="27A87858"/>
    <w:rsid w:val="285F4DE3"/>
    <w:rsid w:val="28AD39F4"/>
    <w:rsid w:val="2AC04357"/>
    <w:rsid w:val="2BF25754"/>
    <w:rsid w:val="2BF9040E"/>
    <w:rsid w:val="2EC96477"/>
    <w:rsid w:val="303B75EA"/>
    <w:rsid w:val="3045266E"/>
    <w:rsid w:val="30AD1D55"/>
    <w:rsid w:val="30C80459"/>
    <w:rsid w:val="358A3901"/>
    <w:rsid w:val="37501675"/>
    <w:rsid w:val="3C990CF4"/>
    <w:rsid w:val="3FB21429"/>
    <w:rsid w:val="42AC557E"/>
    <w:rsid w:val="469E22F4"/>
    <w:rsid w:val="46D66A1A"/>
    <w:rsid w:val="4C7D7184"/>
    <w:rsid w:val="4D30657F"/>
    <w:rsid w:val="4ED65680"/>
    <w:rsid w:val="546C2F27"/>
    <w:rsid w:val="56275A50"/>
    <w:rsid w:val="5706075F"/>
    <w:rsid w:val="5C09629F"/>
    <w:rsid w:val="60334A55"/>
    <w:rsid w:val="604D1FFD"/>
    <w:rsid w:val="64CB2B3F"/>
    <w:rsid w:val="65C0253A"/>
    <w:rsid w:val="67591D81"/>
    <w:rsid w:val="6C4B15E1"/>
    <w:rsid w:val="6C9B7C7B"/>
    <w:rsid w:val="6DA97A1B"/>
    <w:rsid w:val="701074D4"/>
    <w:rsid w:val="722D40F2"/>
    <w:rsid w:val="73F12F9D"/>
    <w:rsid w:val="78397E18"/>
    <w:rsid w:val="799A2FA2"/>
    <w:rsid w:val="7BB32813"/>
    <w:rsid w:val="7C3D690B"/>
    <w:rsid w:val="7E6748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724"/>
    <w:pPr>
      <w:widowControl w:val="0"/>
      <w:jc w:val="both"/>
    </w:pPr>
    <w:rPr>
      <w:kern w:val="2"/>
      <w:sz w:val="21"/>
      <w:szCs w:val="22"/>
    </w:rPr>
  </w:style>
  <w:style w:type="paragraph" w:styleId="1">
    <w:name w:val="heading 1"/>
    <w:basedOn w:val="a"/>
    <w:next w:val="a"/>
    <w:link w:val="1Char"/>
    <w:uiPriority w:val="9"/>
    <w:qFormat/>
    <w:rsid w:val="008B472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8B472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B472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8B4724"/>
    <w:rPr>
      <w:b/>
      <w:bCs/>
    </w:rPr>
  </w:style>
  <w:style w:type="paragraph" w:styleId="a4">
    <w:name w:val="annotation text"/>
    <w:basedOn w:val="a"/>
    <w:link w:val="Char0"/>
    <w:uiPriority w:val="99"/>
    <w:semiHidden/>
    <w:unhideWhenUsed/>
    <w:qFormat/>
    <w:rsid w:val="008B4724"/>
    <w:pPr>
      <w:jc w:val="left"/>
    </w:pPr>
  </w:style>
  <w:style w:type="paragraph" w:styleId="a5">
    <w:name w:val="Date"/>
    <w:basedOn w:val="a"/>
    <w:next w:val="a"/>
    <w:link w:val="Char1"/>
    <w:uiPriority w:val="99"/>
    <w:semiHidden/>
    <w:unhideWhenUsed/>
    <w:qFormat/>
    <w:rsid w:val="008B4724"/>
    <w:pPr>
      <w:ind w:leftChars="2500" w:left="100"/>
    </w:pPr>
  </w:style>
  <w:style w:type="paragraph" w:styleId="a6">
    <w:name w:val="Balloon Text"/>
    <w:basedOn w:val="a"/>
    <w:link w:val="Char2"/>
    <w:uiPriority w:val="99"/>
    <w:semiHidden/>
    <w:unhideWhenUsed/>
    <w:qFormat/>
    <w:rsid w:val="008B4724"/>
    <w:rPr>
      <w:sz w:val="18"/>
      <w:szCs w:val="18"/>
    </w:rPr>
  </w:style>
  <w:style w:type="paragraph" w:styleId="a7">
    <w:name w:val="footer"/>
    <w:basedOn w:val="a"/>
    <w:link w:val="Char3"/>
    <w:uiPriority w:val="99"/>
    <w:unhideWhenUsed/>
    <w:qFormat/>
    <w:rsid w:val="008B4724"/>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8B4724"/>
    <w:pPr>
      <w:pBdr>
        <w:bottom w:val="single" w:sz="6" w:space="1" w:color="auto"/>
      </w:pBdr>
      <w:tabs>
        <w:tab w:val="center" w:pos="4153"/>
        <w:tab w:val="right" w:pos="8306"/>
      </w:tabs>
      <w:snapToGrid w:val="0"/>
      <w:jc w:val="center"/>
    </w:pPr>
    <w:rPr>
      <w:sz w:val="18"/>
      <w:szCs w:val="18"/>
    </w:rPr>
  </w:style>
  <w:style w:type="character" w:styleId="a9">
    <w:name w:val="Emphasis"/>
    <w:basedOn w:val="a0"/>
    <w:uiPriority w:val="20"/>
    <w:qFormat/>
    <w:rsid w:val="008B4724"/>
    <w:rPr>
      <w:i/>
      <w:iCs/>
    </w:rPr>
  </w:style>
  <w:style w:type="character" w:styleId="aa">
    <w:name w:val="Hyperlink"/>
    <w:basedOn w:val="a0"/>
    <w:uiPriority w:val="99"/>
    <w:semiHidden/>
    <w:unhideWhenUsed/>
    <w:qFormat/>
    <w:rsid w:val="008B4724"/>
    <w:rPr>
      <w:color w:val="0000FF"/>
      <w:u w:val="single"/>
    </w:rPr>
  </w:style>
  <w:style w:type="character" w:styleId="ab">
    <w:name w:val="annotation reference"/>
    <w:basedOn w:val="a0"/>
    <w:uiPriority w:val="99"/>
    <w:semiHidden/>
    <w:unhideWhenUsed/>
    <w:qFormat/>
    <w:rsid w:val="008B4724"/>
    <w:rPr>
      <w:sz w:val="21"/>
      <w:szCs w:val="21"/>
    </w:rPr>
  </w:style>
  <w:style w:type="character" w:customStyle="1" w:styleId="Char0">
    <w:name w:val="批注文字 Char"/>
    <w:basedOn w:val="a0"/>
    <w:link w:val="a4"/>
    <w:uiPriority w:val="99"/>
    <w:semiHidden/>
    <w:qFormat/>
    <w:rsid w:val="008B4724"/>
  </w:style>
  <w:style w:type="character" w:customStyle="1" w:styleId="Char">
    <w:name w:val="批注主题 Char"/>
    <w:basedOn w:val="Char0"/>
    <w:link w:val="a3"/>
    <w:uiPriority w:val="99"/>
    <w:semiHidden/>
    <w:qFormat/>
    <w:rsid w:val="008B4724"/>
    <w:rPr>
      <w:b/>
      <w:bCs/>
    </w:rPr>
  </w:style>
  <w:style w:type="character" w:customStyle="1" w:styleId="Char2">
    <w:name w:val="批注框文本 Char"/>
    <w:basedOn w:val="a0"/>
    <w:link w:val="a6"/>
    <w:uiPriority w:val="99"/>
    <w:semiHidden/>
    <w:qFormat/>
    <w:rsid w:val="008B4724"/>
    <w:rPr>
      <w:sz w:val="18"/>
      <w:szCs w:val="18"/>
    </w:rPr>
  </w:style>
  <w:style w:type="character" w:customStyle="1" w:styleId="Char1">
    <w:name w:val="日期 Char"/>
    <w:basedOn w:val="a0"/>
    <w:link w:val="a5"/>
    <w:uiPriority w:val="99"/>
    <w:semiHidden/>
    <w:qFormat/>
    <w:rsid w:val="008B4724"/>
  </w:style>
  <w:style w:type="character" w:customStyle="1" w:styleId="1Char">
    <w:name w:val="标题 1 Char"/>
    <w:basedOn w:val="a0"/>
    <w:link w:val="1"/>
    <w:uiPriority w:val="9"/>
    <w:qFormat/>
    <w:rsid w:val="008B4724"/>
    <w:rPr>
      <w:b/>
      <w:bCs/>
      <w:kern w:val="44"/>
      <w:sz w:val="44"/>
      <w:szCs w:val="44"/>
    </w:rPr>
  </w:style>
  <w:style w:type="character" w:customStyle="1" w:styleId="2Char">
    <w:name w:val="标题 2 Char"/>
    <w:basedOn w:val="a0"/>
    <w:link w:val="2"/>
    <w:uiPriority w:val="9"/>
    <w:qFormat/>
    <w:rsid w:val="008B4724"/>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8B4724"/>
    <w:rPr>
      <w:b/>
      <w:bCs/>
      <w:sz w:val="32"/>
      <w:szCs w:val="32"/>
    </w:rPr>
  </w:style>
  <w:style w:type="character" w:customStyle="1" w:styleId="Char4">
    <w:name w:val="页眉 Char"/>
    <w:basedOn w:val="a0"/>
    <w:link w:val="a8"/>
    <w:uiPriority w:val="99"/>
    <w:qFormat/>
    <w:rsid w:val="008B4724"/>
    <w:rPr>
      <w:sz w:val="18"/>
      <w:szCs w:val="18"/>
    </w:rPr>
  </w:style>
  <w:style w:type="character" w:customStyle="1" w:styleId="Char3">
    <w:name w:val="页脚 Char"/>
    <w:basedOn w:val="a0"/>
    <w:link w:val="a7"/>
    <w:uiPriority w:val="99"/>
    <w:qFormat/>
    <w:rsid w:val="008B4724"/>
    <w:rPr>
      <w:sz w:val="18"/>
      <w:szCs w:val="18"/>
    </w:rPr>
  </w:style>
  <w:style w:type="paragraph" w:customStyle="1" w:styleId="Default">
    <w:name w:val="Default"/>
    <w:qFormat/>
    <w:rsid w:val="008B4724"/>
    <w:pPr>
      <w:widowControl w:val="0"/>
      <w:autoSpaceDE w:val="0"/>
      <w:autoSpaceDN w:val="0"/>
      <w:adjustRightInd w:val="0"/>
    </w:pPr>
    <w:rPr>
      <w:rFonts w:ascii="宋体" w:eastAsia="宋体" w:cs="宋体"/>
      <w:color w:val="000000"/>
      <w:sz w:val="24"/>
      <w:szCs w:val="24"/>
    </w:rPr>
  </w:style>
  <w:style w:type="paragraph" w:styleId="ac">
    <w:name w:val="List Paragraph"/>
    <w:basedOn w:val="a"/>
    <w:uiPriority w:val="34"/>
    <w:qFormat/>
    <w:rsid w:val="008B4724"/>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F051C9C-A574-4E46-A38E-3D5BDB7D9D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1510</Words>
  <Characters>8610</Characters>
  <Application>Microsoft Office Word</Application>
  <DocSecurity>0</DocSecurity>
  <Lines>71</Lines>
  <Paragraphs>20</Paragraphs>
  <ScaleCrop>false</ScaleCrop>
  <Company>china</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zhangjj</dc:creator>
  <cp:lastModifiedBy>liangmq</cp:lastModifiedBy>
  <cp:revision>8</cp:revision>
  <cp:lastPrinted>2018-03-13T00:34:00Z</cp:lastPrinted>
  <dcterms:created xsi:type="dcterms:W3CDTF">2019-02-28T08:59:00Z</dcterms:created>
  <dcterms:modified xsi:type="dcterms:W3CDTF">2019-03-01T10:43:00Z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