
<file path=[Content_Types].xml><?xml version="1.0" encoding="utf-8"?>
<Types xmlns="http://schemas.openxmlformats.org/package/2006/content-types">
  <Default Extension="xml" ContentType="application/xml"/>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Theme="minorEastAsia" w:hAnsiTheme="minorEastAsia" w:eastAsiaTheme="minorEastAsia"/>
          <w:b/>
        </w:rPr>
      </w:pPr>
    </w:p>
    <w:p>
      <w:pPr>
        <w:spacing w:line="360" w:lineRule="auto"/>
        <w:jc w:val="center"/>
        <w:rPr>
          <w:rFonts w:hint="eastAsia" w:asciiTheme="minorEastAsia" w:hAnsiTheme="minorEastAsia" w:eastAsiaTheme="minorEastAsia"/>
          <w:b/>
          <w:lang w:eastAsia="zh-CN"/>
        </w:rPr>
      </w:pPr>
      <w:bookmarkStart w:id="48" w:name="_GoBack"/>
      <w:r>
        <w:rPr>
          <w:rFonts w:hint="eastAsia" w:asciiTheme="minorEastAsia" w:hAnsiTheme="minorEastAsia" w:eastAsiaTheme="minorEastAsia"/>
          <w:b/>
          <w:lang w:eastAsia="zh-CN"/>
        </w:rPr>
        <w:drawing>
          <wp:inline distT="0" distB="0" distL="114300" distR="114300">
            <wp:extent cx="4775200" cy="6727190"/>
            <wp:effectExtent l="0" t="0" r="6350" b="16510"/>
            <wp:docPr id="3"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1"/>
                    <pic:cNvPicPr>
                      <a:picLocks noChangeAspect="1"/>
                    </pic:cNvPicPr>
                  </pic:nvPicPr>
                  <pic:blipFill>
                    <a:blip r:embed="rId6"/>
                    <a:stretch>
                      <a:fillRect/>
                    </a:stretch>
                  </pic:blipFill>
                  <pic:spPr>
                    <a:xfrm>
                      <a:off x="0" y="0"/>
                      <a:ext cx="4775200" cy="6727190"/>
                    </a:xfrm>
                    <a:prstGeom prst="rect">
                      <a:avLst/>
                    </a:prstGeom>
                  </pic:spPr>
                </pic:pic>
              </a:graphicData>
            </a:graphic>
          </wp:inline>
        </w:drawing>
      </w:r>
      <w:bookmarkEnd w:id="48"/>
    </w:p>
    <w:p>
      <w:pPr>
        <w:spacing w:line="360" w:lineRule="auto"/>
        <w:jc w:val="center"/>
        <w:rPr>
          <w:rFonts w:cs="Arial Unicode MS" w:asciiTheme="minorEastAsia" w:hAnsiTheme="minorEastAsia" w:eastAsiaTheme="minorEastAsia"/>
        </w:rPr>
      </w:pPr>
      <w:r>
        <w:rPr>
          <w:rFonts w:hint="eastAsia" w:asciiTheme="minorEastAsia" w:hAnsiTheme="minorEastAsia" w:eastAsiaTheme="minorEastAsia"/>
          <w:b/>
          <w:sz w:val="32"/>
          <w:szCs w:val="32"/>
        </w:rPr>
        <w:t>创业板</w:t>
      </w:r>
      <w:r>
        <w:rPr>
          <w:rFonts w:asciiTheme="minorEastAsia" w:hAnsiTheme="minorEastAsia" w:eastAsiaTheme="minorEastAsia"/>
          <w:b/>
          <w:sz w:val="32"/>
          <w:szCs w:val="32"/>
        </w:rPr>
        <w:t>指数</w:t>
      </w:r>
      <w:r>
        <w:rPr>
          <w:rFonts w:hint="eastAsia" w:asciiTheme="minorEastAsia" w:hAnsiTheme="minorEastAsia" w:eastAsiaTheme="minorEastAsia"/>
          <w:b/>
          <w:sz w:val="32"/>
          <w:szCs w:val="32"/>
        </w:rPr>
        <w:t>十周年</w:t>
      </w:r>
      <w:r>
        <w:rPr>
          <w:rFonts w:asciiTheme="minorEastAsia" w:hAnsiTheme="minorEastAsia" w:eastAsiaTheme="minorEastAsia"/>
          <w:b/>
          <w:sz w:val="32"/>
          <w:szCs w:val="32"/>
        </w:rPr>
        <w:t>蓝皮书</w:t>
      </w:r>
    </w:p>
    <w:p>
      <w:pPr>
        <w:spacing w:line="360" w:lineRule="auto"/>
        <w:ind w:firstLine="420" w:firstLineChars="200"/>
        <w:rPr>
          <w:rFonts w:hint="eastAsia" w:cs="Arial Unicode MS" w:asciiTheme="minorEastAsia" w:hAnsiTheme="minorEastAsia" w:eastAsiaTheme="minorEastAsia"/>
          <w:lang w:val="en"/>
        </w:rPr>
      </w:pPr>
      <w:r>
        <w:rPr>
          <w:rFonts w:hint="eastAsia" w:cs="Arial Unicode MS" w:asciiTheme="minorEastAsia" w:hAnsiTheme="minorEastAsia" w:eastAsiaTheme="minorEastAsia"/>
          <w:lang w:val="en"/>
        </w:rPr>
        <w:t>6月1日，正值创业板指发布十周年，天弘基金联合深交所投教基地、深圳证券信息有限公司发布《创业板指数十周年蓝皮书》，从创业板指数的运行情况、发展历程、价值解读、投资者行为分析、未来展望等几个方面，帮助投资者全方位了解创业板指数，更好地把握未来投资机会。</w:t>
      </w:r>
    </w:p>
    <w:p>
      <w:pPr>
        <w:pStyle w:val="2"/>
        <w:spacing w:line="240" w:lineRule="auto"/>
        <w:ind w:firstLine="422" w:firstLineChars="200"/>
        <w:rPr>
          <w:sz w:val="21"/>
          <w:szCs w:val="21"/>
        </w:rPr>
      </w:pPr>
      <w:bookmarkStart w:id="0" w:name="_Toc41601885"/>
      <w:r>
        <w:rPr>
          <w:rFonts w:hint="eastAsia"/>
          <w:sz w:val="21"/>
          <w:szCs w:val="21"/>
        </w:rPr>
        <w:t>一、创业板指数介绍</w:t>
      </w:r>
      <w:bookmarkEnd w:id="0"/>
    </w:p>
    <w:p>
      <w:pPr>
        <w:pStyle w:val="3"/>
        <w:spacing w:line="240" w:lineRule="auto"/>
        <w:ind w:firstLine="422" w:firstLineChars="200"/>
        <w:rPr>
          <w:sz w:val="21"/>
          <w:szCs w:val="21"/>
          <w:u w:val="single"/>
        </w:rPr>
      </w:pPr>
      <w:bookmarkStart w:id="1" w:name="_Toc41601886"/>
      <w:r>
        <w:rPr>
          <w:rFonts w:hint="eastAsia"/>
          <w:sz w:val="21"/>
          <w:szCs w:val="21"/>
          <w:u w:val="single"/>
        </w:rPr>
        <w:t>1.1指数功能与定位</w:t>
      </w:r>
      <w:bookmarkEnd w:id="1"/>
    </w:p>
    <w:p>
      <w:pPr>
        <w:spacing w:line="360" w:lineRule="auto"/>
        <w:ind w:firstLine="422" w:firstLineChars="200"/>
        <w:rPr>
          <w:rFonts w:cs="宋体" w:asciiTheme="minorEastAsia" w:hAnsiTheme="minorEastAsia" w:eastAsiaTheme="minorEastAsia"/>
          <w:b/>
          <w:bCs/>
          <w:color w:val="ED7703"/>
        </w:rPr>
      </w:pPr>
      <w:r>
        <w:rPr>
          <w:rFonts w:hint="eastAsia" w:cs="宋体" w:asciiTheme="minorEastAsia" w:hAnsiTheme="minorEastAsia" w:eastAsiaTheme="minorEastAsia"/>
          <w:b/>
          <w:bCs/>
          <w:color w:val="ED7703"/>
        </w:rPr>
        <w:t>全面表征中国创新创业企业发展情况</w:t>
      </w:r>
    </w:p>
    <w:p>
      <w:pPr>
        <w:spacing w:line="360" w:lineRule="auto"/>
        <w:ind w:firstLine="420" w:firstLineChars="200"/>
        <w:rPr>
          <w:rFonts w:cs="宋体" w:asciiTheme="minorEastAsia" w:hAnsiTheme="minorEastAsia" w:eastAsiaTheme="minorEastAsia"/>
        </w:rPr>
      </w:pPr>
      <w:r>
        <w:rPr>
          <w:rFonts w:hint="eastAsia" w:cs="宋体" w:asciiTheme="minorEastAsia" w:hAnsiTheme="minorEastAsia" w:eastAsiaTheme="minorEastAsia"/>
        </w:rPr>
        <w:t>2</w:t>
      </w:r>
      <w:r>
        <w:rPr>
          <w:rFonts w:hint="eastAsia" w:cs="宋体" w:asciiTheme="minorEastAsia" w:hAnsiTheme="minorEastAsia" w:eastAsiaTheme="minorEastAsia"/>
          <w:lang w:val="en"/>
        </w:rPr>
        <w:t>009年10月30日，深交所创业板首批28家公司正式挂牌交易，推进</w:t>
      </w:r>
      <w:r>
        <w:rPr>
          <w:rFonts w:cs="宋体" w:asciiTheme="minorEastAsia" w:hAnsiTheme="minorEastAsia" w:eastAsiaTheme="minorEastAsia"/>
          <w:lang w:val="en"/>
        </w:rPr>
        <w:t>了多层次资本市场体系建设</w:t>
      </w:r>
      <w:r>
        <w:rPr>
          <w:rFonts w:hint="eastAsia" w:cs="宋体" w:asciiTheme="minorEastAsia" w:hAnsiTheme="minorEastAsia" w:eastAsiaTheme="minorEastAsia"/>
          <w:lang w:val="en"/>
        </w:rPr>
        <w:t>，</w:t>
      </w:r>
      <w:r>
        <w:rPr>
          <w:rFonts w:cs="宋体" w:asciiTheme="minorEastAsia" w:hAnsiTheme="minorEastAsia" w:eastAsiaTheme="minorEastAsia"/>
          <w:lang w:val="en"/>
        </w:rPr>
        <w:t>开启</w:t>
      </w:r>
      <w:r>
        <w:rPr>
          <w:rFonts w:hint="eastAsia" w:cs="宋体" w:asciiTheme="minorEastAsia" w:hAnsiTheme="minorEastAsia" w:eastAsiaTheme="minorEastAsia"/>
          <w:lang w:val="en"/>
        </w:rPr>
        <w:t>了</w:t>
      </w:r>
      <w:r>
        <w:rPr>
          <w:rFonts w:cs="宋体" w:asciiTheme="minorEastAsia" w:hAnsiTheme="minorEastAsia" w:eastAsiaTheme="minorEastAsia"/>
          <w:lang w:val="en"/>
        </w:rPr>
        <w:t>中国资本市场发展</w:t>
      </w:r>
      <w:r>
        <w:rPr>
          <w:rFonts w:hint="eastAsia" w:cs="宋体" w:asciiTheme="minorEastAsia" w:hAnsiTheme="minorEastAsia" w:eastAsiaTheme="minorEastAsia"/>
          <w:lang w:val="en"/>
        </w:rPr>
        <w:t>的</w:t>
      </w:r>
      <w:r>
        <w:rPr>
          <w:rFonts w:cs="宋体" w:asciiTheme="minorEastAsia" w:hAnsiTheme="minorEastAsia" w:eastAsiaTheme="minorEastAsia"/>
          <w:lang w:val="en"/>
        </w:rPr>
        <w:t>新篇章</w:t>
      </w:r>
      <w:r>
        <w:rPr>
          <w:rFonts w:hint="eastAsia" w:cs="宋体" w:asciiTheme="minorEastAsia" w:hAnsiTheme="minorEastAsia" w:eastAsiaTheme="minorEastAsia"/>
          <w:lang w:val="en"/>
        </w:rPr>
        <w:t>。</w:t>
      </w:r>
      <w:r>
        <w:rPr>
          <w:rFonts w:hint="eastAsia" w:cs="宋体" w:asciiTheme="minorEastAsia" w:hAnsiTheme="minorEastAsia" w:eastAsiaTheme="minorEastAsia"/>
        </w:rPr>
        <w:t>2010年6月1日，创业板指数正式发布，定位</w:t>
      </w:r>
      <w:r>
        <w:rPr>
          <w:rFonts w:hint="eastAsia" w:cs="宋体" w:asciiTheme="minorEastAsia" w:hAnsiTheme="minorEastAsia" w:eastAsiaTheme="minorEastAsia"/>
          <w:bCs/>
        </w:rPr>
        <w:t>创业板市场标尺指数，向市场提供表征中国创新创业企业表现的业绩基准与投资标的。</w:t>
      </w:r>
      <w:r>
        <w:rPr>
          <w:rFonts w:hint="eastAsia" w:cs="宋体" w:asciiTheme="minorEastAsia" w:hAnsiTheme="minorEastAsia" w:eastAsiaTheme="minorEastAsia"/>
          <w:lang w:val="en"/>
        </w:rPr>
        <w:t>创业板</w:t>
      </w:r>
      <w:r>
        <w:rPr>
          <w:rFonts w:hint="eastAsia"/>
        </w:rPr>
        <w:t>自开板以来，始终坚持服务于创新型、成长型企业，</w:t>
      </w:r>
      <w:r>
        <w:rPr>
          <w:rFonts w:hint="eastAsia" w:cs="宋体" w:asciiTheme="minorEastAsia" w:hAnsiTheme="minorEastAsia" w:eastAsiaTheme="minorEastAsia"/>
          <w:lang w:val="en"/>
        </w:rPr>
        <w:t>经过1</w:t>
      </w:r>
      <w:r>
        <w:rPr>
          <w:rFonts w:cs="宋体" w:asciiTheme="minorEastAsia" w:hAnsiTheme="minorEastAsia" w:eastAsiaTheme="minorEastAsia"/>
          <w:lang w:val="en"/>
        </w:rPr>
        <w:t>0年</w:t>
      </w:r>
      <w:r>
        <w:rPr>
          <w:rFonts w:hint="eastAsia" w:cs="宋体" w:asciiTheme="minorEastAsia" w:hAnsiTheme="minorEastAsia" w:eastAsiaTheme="minorEastAsia"/>
          <w:lang w:val="en"/>
        </w:rPr>
        <w:t>多</w:t>
      </w:r>
      <w:r>
        <w:rPr>
          <w:rFonts w:cs="宋体" w:asciiTheme="minorEastAsia" w:hAnsiTheme="minorEastAsia" w:eastAsiaTheme="minorEastAsia"/>
          <w:lang w:val="en"/>
        </w:rPr>
        <w:t>的发展</w:t>
      </w:r>
      <w:r>
        <w:rPr>
          <w:rFonts w:hint="eastAsia" w:cs="宋体" w:asciiTheme="minorEastAsia" w:hAnsiTheme="minorEastAsia" w:eastAsiaTheme="minorEastAsia"/>
          <w:lang w:val="en"/>
        </w:rPr>
        <w:t>，</w:t>
      </w:r>
      <w:r>
        <w:rPr>
          <w:rFonts w:hint="eastAsia"/>
        </w:rPr>
        <w:t>已成为多层次资本市场重要组成部分，为完善创新资本形成机制、落实创新驱动发展战略、服务经济高质量发展作出积极贡献</w:t>
      </w:r>
      <w:r>
        <w:rPr>
          <w:rFonts w:hint="eastAsia" w:cs="宋体" w:asciiTheme="minorEastAsia" w:hAnsiTheme="minorEastAsia" w:eastAsiaTheme="minorEastAsia"/>
          <w:lang w:val="en"/>
        </w:rPr>
        <w:t>。截至2</w:t>
      </w:r>
      <w:r>
        <w:rPr>
          <w:rFonts w:cs="宋体" w:asciiTheme="minorEastAsia" w:hAnsiTheme="minorEastAsia" w:eastAsiaTheme="minorEastAsia"/>
          <w:lang w:val="en"/>
        </w:rPr>
        <w:t>020年5月28日</w:t>
      </w:r>
      <w:r>
        <w:rPr>
          <w:rFonts w:hint="eastAsia" w:cs="宋体" w:asciiTheme="minorEastAsia" w:hAnsiTheme="minorEastAsia" w:eastAsiaTheme="minorEastAsia"/>
          <w:lang w:val="en"/>
        </w:rPr>
        <w:t>，</w:t>
      </w:r>
      <w:r>
        <w:rPr>
          <w:rFonts w:cs="宋体" w:asciiTheme="minorEastAsia" w:hAnsiTheme="minorEastAsia" w:eastAsiaTheme="minorEastAsia"/>
          <w:lang w:val="en"/>
        </w:rPr>
        <w:t>创业板</w:t>
      </w:r>
      <w:r>
        <w:rPr>
          <w:rFonts w:hint="eastAsia" w:cs="宋体" w:asciiTheme="minorEastAsia" w:hAnsiTheme="minorEastAsia" w:eastAsiaTheme="minorEastAsia"/>
          <w:lang w:val="en"/>
        </w:rPr>
        <w:t>上市公司数量达</w:t>
      </w:r>
      <w:r>
        <w:rPr>
          <w:rFonts w:cs="宋体" w:asciiTheme="minorEastAsia" w:hAnsiTheme="minorEastAsia" w:eastAsiaTheme="minorEastAsia"/>
        </w:rPr>
        <w:t>813</w:t>
      </w:r>
      <w:r>
        <w:rPr>
          <w:rFonts w:hint="eastAsia" w:cs="宋体" w:asciiTheme="minorEastAsia" w:hAnsiTheme="minorEastAsia" w:eastAsiaTheme="minorEastAsia"/>
          <w:lang w:val="en"/>
        </w:rPr>
        <w:t>家，总市值达到</w:t>
      </w:r>
      <w:r>
        <w:rPr>
          <w:rFonts w:cs="宋体" w:asciiTheme="minorEastAsia" w:hAnsiTheme="minorEastAsia" w:eastAsiaTheme="minorEastAsia"/>
          <w:lang w:val="en"/>
        </w:rPr>
        <w:t>7万亿</w:t>
      </w:r>
      <w:r>
        <w:rPr>
          <w:rFonts w:hint="eastAsia" w:cs="宋体" w:asciiTheme="minorEastAsia" w:hAnsiTheme="minorEastAsia" w:eastAsiaTheme="minorEastAsia"/>
        </w:rPr>
        <w:t>元。</w:t>
      </w:r>
    </w:p>
    <w:p>
      <w:pPr>
        <w:spacing w:line="360" w:lineRule="auto"/>
        <w:ind w:firstLine="420" w:firstLineChars="200"/>
        <w:rPr>
          <w:rFonts w:cs="宋体" w:asciiTheme="minorEastAsia" w:hAnsiTheme="minorEastAsia" w:eastAsiaTheme="minorEastAsia"/>
        </w:rPr>
      </w:pPr>
      <w:r>
        <w:rPr>
          <w:rFonts w:hint="eastAsia" w:cs="宋体" w:asciiTheme="minorEastAsia" w:hAnsiTheme="minorEastAsia" w:eastAsiaTheme="minorEastAsia"/>
          <w:bCs/>
        </w:rPr>
        <w:t>创业板指数从创业板市场中选取流动性好、市值规模大的100只股票构成指数样本。</w:t>
      </w:r>
      <w:r>
        <w:rPr>
          <w:rFonts w:hint="eastAsia" w:cs="宋体" w:asciiTheme="minorEastAsia" w:hAnsiTheme="minorEastAsia" w:eastAsiaTheme="minorEastAsia"/>
        </w:rPr>
        <w:t>目前，</w:t>
      </w:r>
      <w:r>
        <w:rPr>
          <w:rFonts w:hint="eastAsia" w:cs="宋体" w:asciiTheme="minorEastAsia" w:hAnsiTheme="minorEastAsia" w:eastAsiaTheme="minorEastAsia"/>
          <w:lang w:val="en"/>
        </w:rPr>
        <w:t>创业板指数</w:t>
      </w:r>
      <w:r>
        <w:rPr>
          <w:rFonts w:hint="eastAsia" w:cs="宋体" w:asciiTheme="minorEastAsia" w:hAnsiTheme="minorEastAsia" w:eastAsiaTheme="minorEastAsia"/>
        </w:rPr>
        <w:t>的100只</w:t>
      </w:r>
      <w:r>
        <w:rPr>
          <w:rFonts w:hint="eastAsia" w:cs="宋体" w:asciiTheme="minorEastAsia" w:hAnsiTheme="minorEastAsia" w:eastAsiaTheme="minorEastAsia"/>
          <w:lang w:val="en"/>
        </w:rPr>
        <w:t>样本股占创业板</w:t>
      </w:r>
      <w:r>
        <w:rPr>
          <w:rFonts w:hint="eastAsia" w:cs="宋体" w:asciiTheme="minorEastAsia" w:hAnsiTheme="minorEastAsia" w:eastAsiaTheme="minorEastAsia"/>
        </w:rPr>
        <w:t>上市</w:t>
      </w:r>
      <w:r>
        <w:rPr>
          <w:rFonts w:hint="eastAsia" w:cs="宋体" w:asciiTheme="minorEastAsia" w:hAnsiTheme="minorEastAsia" w:eastAsiaTheme="minorEastAsia"/>
          <w:lang w:val="en"/>
        </w:rPr>
        <w:t>公司数量的1</w:t>
      </w:r>
      <w:r>
        <w:rPr>
          <w:rFonts w:cs="宋体" w:asciiTheme="minorEastAsia" w:hAnsiTheme="minorEastAsia" w:eastAsiaTheme="minorEastAsia"/>
          <w:lang w:val="en"/>
        </w:rPr>
        <w:t>2.3</w:t>
      </w:r>
      <w:r>
        <w:rPr>
          <w:rFonts w:hint="eastAsia" w:cs="宋体" w:asciiTheme="minorEastAsia" w:hAnsiTheme="minorEastAsia" w:eastAsiaTheme="minorEastAsia"/>
          <w:lang w:val="en"/>
        </w:rPr>
        <w:t>%，</w:t>
      </w:r>
      <w:r>
        <w:rPr>
          <w:rFonts w:hint="eastAsia" w:cs="宋体" w:asciiTheme="minorEastAsia" w:hAnsiTheme="minorEastAsia" w:eastAsiaTheme="minorEastAsia"/>
        </w:rPr>
        <w:t>总市值规模达到</w:t>
      </w:r>
      <w:r>
        <w:rPr>
          <w:rFonts w:cs="宋体" w:asciiTheme="minorEastAsia" w:hAnsiTheme="minorEastAsia" w:eastAsiaTheme="minorEastAsia"/>
        </w:rPr>
        <w:t>3.</w:t>
      </w:r>
      <w:r>
        <w:rPr>
          <w:rFonts w:hint="eastAsia" w:cs="宋体" w:asciiTheme="minorEastAsia" w:hAnsiTheme="minorEastAsia" w:eastAsiaTheme="minorEastAsia"/>
        </w:rPr>
        <w:t>7</w:t>
      </w:r>
      <w:r>
        <w:rPr>
          <w:rFonts w:cs="宋体" w:asciiTheme="minorEastAsia" w:hAnsiTheme="minorEastAsia" w:eastAsiaTheme="minorEastAsia"/>
        </w:rPr>
        <w:t>万亿</w:t>
      </w:r>
      <w:r>
        <w:rPr>
          <w:rFonts w:hint="eastAsia" w:cs="宋体" w:asciiTheme="minorEastAsia" w:hAnsiTheme="minorEastAsia" w:eastAsiaTheme="minorEastAsia"/>
        </w:rPr>
        <w:t>，与发布之初相比实现十年十倍增长，对</w:t>
      </w:r>
      <w:r>
        <w:rPr>
          <w:rFonts w:cs="宋体" w:asciiTheme="minorEastAsia" w:hAnsiTheme="minorEastAsia" w:eastAsiaTheme="minorEastAsia"/>
        </w:rPr>
        <w:t>创业板市场市值覆盖率达到</w:t>
      </w:r>
      <w:r>
        <w:rPr>
          <w:rFonts w:hint="eastAsia" w:cs="宋体" w:asciiTheme="minorEastAsia" w:hAnsiTheme="minorEastAsia" w:eastAsiaTheme="minorEastAsia"/>
        </w:rPr>
        <w:t>5</w:t>
      </w:r>
      <w:r>
        <w:rPr>
          <w:rFonts w:cs="宋体" w:asciiTheme="minorEastAsia" w:hAnsiTheme="minorEastAsia" w:eastAsiaTheme="minorEastAsia"/>
        </w:rPr>
        <w:t>2</w:t>
      </w:r>
      <w:r>
        <w:rPr>
          <w:rFonts w:hint="eastAsia" w:cs="宋体" w:asciiTheme="minorEastAsia" w:hAnsiTheme="minorEastAsia" w:eastAsiaTheme="minorEastAsia"/>
        </w:rPr>
        <w:t>%，充分</w:t>
      </w:r>
      <w:r>
        <w:rPr>
          <w:rFonts w:cs="宋体" w:asciiTheme="minorEastAsia" w:hAnsiTheme="minorEastAsia" w:eastAsiaTheme="minorEastAsia"/>
          <w:lang w:val="en"/>
        </w:rPr>
        <w:t>体现出了</w:t>
      </w:r>
      <w:r>
        <w:rPr>
          <w:rFonts w:hint="eastAsia" w:cs="宋体" w:asciiTheme="minorEastAsia" w:hAnsiTheme="minorEastAsia" w:eastAsiaTheme="minorEastAsia"/>
          <w:lang w:val="en"/>
        </w:rPr>
        <w:t>创业板</w:t>
      </w:r>
      <w:r>
        <w:rPr>
          <w:rFonts w:cs="宋体" w:asciiTheme="minorEastAsia" w:hAnsiTheme="minorEastAsia" w:eastAsiaTheme="minorEastAsia"/>
          <w:lang w:val="en"/>
        </w:rPr>
        <w:t>指数对</w:t>
      </w:r>
      <w:r>
        <w:rPr>
          <w:rFonts w:hint="eastAsia" w:cs="宋体" w:asciiTheme="minorEastAsia" w:hAnsiTheme="minorEastAsia" w:eastAsiaTheme="minorEastAsia"/>
          <w:lang w:val="en"/>
        </w:rPr>
        <w:t>创业板</w:t>
      </w:r>
      <w:r>
        <w:rPr>
          <w:rFonts w:hint="eastAsia" w:cs="宋体" w:asciiTheme="minorEastAsia" w:hAnsiTheme="minorEastAsia" w:eastAsiaTheme="minorEastAsia"/>
        </w:rPr>
        <w:t>市场</w:t>
      </w:r>
      <w:r>
        <w:rPr>
          <w:rFonts w:cs="宋体" w:asciiTheme="minorEastAsia" w:hAnsiTheme="minorEastAsia" w:eastAsiaTheme="minorEastAsia"/>
          <w:lang w:val="en"/>
        </w:rPr>
        <w:t>的整体表征作用</w:t>
      </w:r>
      <w:r>
        <w:rPr>
          <w:rFonts w:hint="eastAsia" w:cs="宋体" w:asciiTheme="minorEastAsia" w:hAnsiTheme="minorEastAsia" w:eastAsiaTheme="minorEastAsia"/>
          <w:lang w:val="en"/>
        </w:rPr>
        <w:t>。</w:t>
      </w:r>
      <w:bookmarkStart w:id="2" w:name="_Toc41601887"/>
    </w:p>
    <w:p>
      <w:r>
        <w:drawing>
          <wp:inline distT="0" distB="0" distL="0" distR="0">
            <wp:extent cx="5274310" cy="2328545"/>
            <wp:effectExtent l="0" t="0" r="2540" b="0"/>
            <wp:docPr id="21" name="图片 21" descr="C:\Users\dingxm\Desktop\图表导出\1表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dingxm\Desktop\图表导出\1表1.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274310" cy="2328596"/>
                    </a:xfrm>
                    <a:prstGeom prst="rect">
                      <a:avLst/>
                    </a:prstGeom>
                    <a:noFill/>
                    <a:ln>
                      <a:noFill/>
                    </a:ln>
                  </pic:spPr>
                </pic:pic>
              </a:graphicData>
            </a:graphic>
          </wp:inline>
        </w:drawing>
      </w:r>
    </w:p>
    <w:p>
      <w:pPr>
        <w:pStyle w:val="3"/>
        <w:spacing w:line="240" w:lineRule="auto"/>
        <w:ind w:firstLine="422" w:firstLineChars="200"/>
        <w:rPr>
          <w:sz w:val="21"/>
          <w:szCs w:val="21"/>
          <w:u w:val="single"/>
        </w:rPr>
      </w:pPr>
      <w:r>
        <w:rPr>
          <w:rFonts w:hint="eastAsia"/>
          <w:sz w:val="21"/>
          <w:szCs w:val="21"/>
          <w:u w:val="single"/>
        </w:rPr>
        <w:t>1.2指数行业分布特征</w:t>
      </w:r>
      <w:bookmarkEnd w:id="2"/>
    </w:p>
    <w:p>
      <w:pPr>
        <w:spacing w:line="360" w:lineRule="auto"/>
        <w:ind w:firstLine="422" w:firstLineChars="200"/>
        <w:rPr>
          <w:rFonts w:cs="宋体" w:asciiTheme="minorEastAsia" w:hAnsiTheme="minorEastAsia" w:eastAsiaTheme="minorEastAsia"/>
          <w:b/>
          <w:bCs/>
          <w:color w:val="ED7703"/>
        </w:rPr>
      </w:pPr>
      <w:r>
        <w:rPr>
          <w:rFonts w:hint="eastAsia" w:cs="宋体" w:asciiTheme="minorEastAsia" w:hAnsiTheme="minorEastAsia" w:eastAsiaTheme="minorEastAsia"/>
          <w:b/>
          <w:bCs/>
          <w:color w:val="ED7703"/>
        </w:rPr>
        <w:t>以新兴行业作为指数主导行业</w:t>
      </w:r>
    </w:p>
    <w:p>
      <w:pPr>
        <w:spacing w:line="360" w:lineRule="auto"/>
        <w:ind w:firstLine="420" w:firstLineChars="200"/>
        <w:rPr>
          <w:rFonts w:asciiTheme="minorEastAsia" w:hAnsiTheme="minorEastAsia" w:eastAsiaTheme="minorEastAsia"/>
        </w:rPr>
      </w:pPr>
      <w:r>
        <w:rPr>
          <w:rFonts w:cs="宋体" w:asciiTheme="minorEastAsia" w:hAnsiTheme="minorEastAsia" w:eastAsiaTheme="minorEastAsia"/>
          <w:lang w:val="en"/>
        </w:rPr>
        <w:t>按</w:t>
      </w:r>
      <w:r>
        <w:rPr>
          <w:rFonts w:hint="eastAsia" w:cs="宋体" w:asciiTheme="minorEastAsia" w:hAnsiTheme="minorEastAsia" w:eastAsiaTheme="minorEastAsia"/>
          <w:lang w:val="en"/>
        </w:rPr>
        <w:t>照国证</w:t>
      </w:r>
      <w:r>
        <w:rPr>
          <w:rFonts w:cs="宋体" w:asciiTheme="minorEastAsia" w:hAnsiTheme="minorEastAsia" w:eastAsiaTheme="minorEastAsia"/>
          <w:lang w:val="en"/>
        </w:rPr>
        <w:t>行业分类</w:t>
      </w:r>
      <w:r>
        <w:rPr>
          <w:rFonts w:hint="eastAsia" w:cs="宋体" w:asciiTheme="minorEastAsia" w:hAnsiTheme="minorEastAsia" w:eastAsiaTheme="minorEastAsia"/>
          <w:lang w:val="en"/>
        </w:rPr>
        <w:t>，</w:t>
      </w:r>
      <w:r>
        <w:rPr>
          <w:rFonts w:cs="宋体" w:asciiTheme="minorEastAsia" w:hAnsiTheme="minorEastAsia" w:eastAsiaTheme="minorEastAsia"/>
          <w:lang w:val="en"/>
        </w:rPr>
        <w:t>创业板</w:t>
      </w:r>
      <w:r>
        <w:rPr>
          <w:rFonts w:hint="eastAsia" w:cs="宋体" w:asciiTheme="minorEastAsia" w:hAnsiTheme="minorEastAsia" w:eastAsiaTheme="minorEastAsia"/>
          <w:lang w:val="en"/>
        </w:rPr>
        <w:t>指</w:t>
      </w:r>
      <w:r>
        <w:rPr>
          <w:rFonts w:hint="eastAsia" w:cs="宋体" w:asciiTheme="minorEastAsia" w:hAnsiTheme="minorEastAsia" w:eastAsiaTheme="minorEastAsia"/>
        </w:rPr>
        <w:t>数前两大权重</w:t>
      </w:r>
      <w:r>
        <w:rPr>
          <w:rFonts w:hint="eastAsia" w:cs="宋体" w:asciiTheme="minorEastAsia" w:hAnsiTheme="minorEastAsia" w:eastAsiaTheme="minorEastAsia"/>
          <w:lang w:val="en"/>
        </w:rPr>
        <w:t>行业</w:t>
      </w:r>
      <w:r>
        <w:rPr>
          <w:rFonts w:hint="eastAsia" w:cs="宋体" w:asciiTheme="minorEastAsia" w:hAnsiTheme="minorEastAsia" w:eastAsiaTheme="minorEastAsia"/>
        </w:rPr>
        <w:t>均为新兴行业</w:t>
      </w:r>
      <w:r>
        <w:rPr>
          <w:rFonts w:hint="eastAsia" w:cs="宋体" w:asciiTheme="minorEastAsia" w:hAnsiTheme="minorEastAsia"/>
        </w:rPr>
        <w:t>，医药卫生和信息技术占指数近六成权重，权重分别为</w:t>
      </w:r>
      <w:r>
        <w:rPr>
          <w:rFonts w:cs="宋体" w:asciiTheme="minorEastAsia" w:hAnsiTheme="minorEastAsia"/>
        </w:rPr>
        <w:t>31</w:t>
      </w:r>
      <w:r>
        <w:rPr>
          <w:rFonts w:hint="eastAsia" w:cs="宋体" w:asciiTheme="minorEastAsia" w:hAnsiTheme="minorEastAsia"/>
        </w:rPr>
        <w:t>%和</w:t>
      </w:r>
      <w:r>
        <w:rPr>
          <w:rFonts w:cs="宋体" w:asciiTheme="minorEastAsia" w:hAnsiTheme="minorEastAsia"/>
        </w:rPr>
        <w:t>28</w:t>
      </w:r>
      <w:r>
        <w:rPr>
          <w:rFonts w:hint="eastAsia" w:cs="宋体" w:asciiTheme="minorEastAsia" w:hAnsiTheme="minorEastAsia"/>
        </w:rPr>
        <w:t>%。长期来看，信息技术一直是指数的主导行业，在2016年占指数样本权重近五成；与指数发布初期相比，医药卫生和主要消费两个行业在指数中的权重占比出现较大幅度的增长，医药卫生由14%提升至31%，主要消费由1%提升至7%</w:t>
      </w:r>
      <w:r>
        <w:rPr>
          <w:rFonts w:hint="eastAsia" w:cs="宋体" w:asciiTheme="minorEastAsia" w:hAnsiTheme="minorEastAsia" w:eastAsiaTheme="minorEastAsia"/>
        </w:rPr>
        <w:t>。</w:t>
      </w:r>
    </w:p>
    <w:p>
      <w:pPr>
        <w:rPr>
          <w:rFonts w:asciiTheme="minorEastAsia" w:hAnsiTheme="minorEastAsia" w:eastAsiaTheme="minorEastAsia"/>
        </w:rPr>
      </w:pPr>
      <w:r>
        <w:rPr>
          <w:rFonts w:asciiTheme="minorEastAsia" w:hAnsiTheme="minorEastAsia" w:eastAsiaTheme="minorEastAsia"/>
        </w:rPr>
        <w:drawing>
          <wp:inline distT="0" distB="0" distL="0" distR="0">
            <wp:extent cx="5274310" cy="2188845"/>
            <wp:effectExtent l="0" t="0" r="2540" b="1905"/>
            <wp:docPr id="22" name="图片 22" descr="C:\Users\dingxm\Desktop\图表导出\2图1.1、表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dingxm\Desktop\图表导出\2图1.1、表1.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274310" cy="2189177"/>
                    </a:xfrm>
                    <a:prstGeom prst="rect">
                      <a:avLst/>
                    </a:prstGeom>
                    <a:noFill/>
                    <a:ln>
                      <a:noFill/>
                    </a:ln>
                  </pic:spPr>
                </pic:pic>
              </a:graphicData>
            </a:graphic>
          </wp:inline>
        </w:drawing>
      </w:r>
    </w:p>
    <w:p>
      <w:pPr>
        <w:pStyle w:val="3"/>
        <w:spacing w:line="240" w:lineRule="auto"/>
        <w:ind w:firstLine="422" w:firstLineChars="200"/>
        <w:rPr>
          <w:sz w:val="21"/>
          <w:szCs w:val="21"/>
          <w:u w:val="single"/>
        </w:rPr>
      </w:pPr>
      <w:bookmarkStart w:id="3" w:name="_Toc41601888"/>
      <w:r>
        <w:rPr>
          <w:rFonts w:hint="eastAsia"/>
          <w:sz w:val="21"/>
          <w:szCs w:val="21"/>
          <w:u w:val="single"/>
        </w:rPr>
        <w:t>1.3指数权重股集中度和市值分布</w:t>
      </w:r>
      <w:bookmarkEnd w:id="3"/>
    </w:p>
    <w:p>
      <w:pPr>
        <w:spacing w:line="360" w:lineRule="auto"/>
        <w:ind w:firstLine="422" w:firstLineChars="200"/>
        <w:rPr>
          <w:rFonts w:cs="宋体" w:asciiTheme="minorEastAsia" w:hAnsiTheme="minorEastAsia" w:eastAsiaTheme="minorEastAsia"/>
          <w:b/>
          <w:bCs/>
          <w:color w:val="ED7703"/>
        </w:rPr>
      </w:pPr>
      <w:r>
        <w:rPr>
          <w:rFonts w:hint="eastAsia" w:cs="宋体" w:asciiTheme="minorEastAsia" w:hAnsiTheme="minorEastAsia" w:eastAsiaTheme="minorEastAsia"/>
          <w:b/>
          <w:bCs/>
          <w:color w:val="ED7703"/>
        </w:rPr>
        <w:t>从中小市值风格到中盘市值风格成长</w:t>
      </w:r>
    </w:p>
    <w:p>
      <w:pPr>
        <w:spacing w:line="360" w:lineRule="auto"/>
        <w:ind w:firstLine="420" w:firstLineChars="200"/>
        <w:rPr>
          <w:rFonts w:asciiTheme="minorEastAsia" w:hAnsiTheme="minorEastAsia" w:eastAsiaTheme="minorEastAsia"/>
        </w:rPr>
      </w:pPr>
      <w:r>
        <w:rPr>
          <w:rFonts w:asciiTheme="minorEastAsia" w:hAnsiTheme="minorEastAsia" w:eastAsiaTheme="minorEastAsia"/>
        </w:rPr>
        <w:t>创业板指数的</w:t>
      </w:r>
      <w:r>
        <w:rPr>
          <w:rFonts w:hint="eastAsia" w:asciiTheme="minorEastAsia" w:hAnsiTheme="minorEastAsia" w:eastAsiaTheme="minorEastAsia"/>
        </w:rPr>
        <w:t>样本股</w:t>
      </w:r>
      <w:r>
        <w:rPr>
          <w:rFonts w:asciiTheme="minorEastAsia" w:hAnsiTheme="minorEastAsia" w:eastAsiaTheme="minorEastAsia"/>
        </w:rPr>
        <w:t>分布相对比较集中</w:t>
      </w:r>
      <w:r>
        <w:rPr>
          <w:rFonts w:hint="eastAsia" w:asciiTheme="minorEastAsia" w:hAnsiTheme="minorEastAsia" w:eastAsiaTheme="minorEastAsia"/>
        </w:rPr>
        <w:t>，</w:t>
      </w:r>
      <w:r>
        <w:rPr>
          <w:rFonts w:asciiTheme="minorEastAsia" w:hAnsiTheme="minorEastAsia" w:eastAsiaTheme="minorEastAsia"/>
        </w:rPr>
        <w:t>前十大权重股的累计权重合计接近</w:t>
      </w:r>
      <w:r>
        <w:rPr>
          <w:rFonts w:hint="eastAsia" w:asciiTheme="minorEastAsia" w:hAnsiTheme="minorEastAsia" w:eastAsiaTheme="minorEastAsia"/>
        </w:rPr>
        <w:t>4</w:t>
      </w:r>
      <w:r>
        <w:rPr>
          <w:rFonts w:asciiTheme="minorEastAsia" w:hAnsiTheme="minorEastAsia" w:eastAsiaTheme="minorEastAsia"/>
        </w:rPr>
        <w:t>0</w:t>
      </w:r>
      <w:r>
        <w:rPr>
          <w:rFonts w:hint="eastAsia" w:asciiTheme="minorEastAsia" w:hAnsiTheme="minorEastAsia" w:eastAsiaTheme="minorEastAsia"/>
        </w:rPr>
        <w:t>%。</w:t>
      </w:r>
      <w:r>
        <w:rPr>
          <w:rFonts w:asciiTheme="minorEastAsia" w:hAnsiTheme="minorEastAsia" w:eastAsiaTheme="minorEastAsia"/>
        </w:rPr>
        <w:t>创业板指数上市之初</w:t>
      </w:r>
      <w:r>
        <w:rPr>
          <w:rFonts w:hint="eastAsia" w:asciiTheme="minorEastAsia" w:hAnsiTheme="minorEastAsia" w:eastAsiaTheme="minorEastAsia"/>
        </w:rPr>
        <w:t>，</w:t>
      </w:r>
      <w:r>
        <w:rPr>
          <w:rFonts w:asciiTheme="minorEastAsia" w:hAnsiTheme="minorEastAsia" w:eastAsiaTheme="minorEastAsia"/>
        </w:rPr>
        <w:t>属于典型的中小市值风格的市场指数</w:t>
      </w:r>
      <w:r>
        <w:rPr>
          <w:rFonts w:hint="eastAsia" w:asciiTheme="minorEastAsia" w:hAnsiTheme="minorEastAsia" w:eastAsiaTheme="minorEastAsia"/>
        </w:rPr>
        <w:t>，</w:t>
      </w:r>
      <w:r>
        <w:rPr>
          <w:rFonts w:asciiTheme="minorEastAsia" w:hAnsiTheme="minorEastAsia" w:eastAsiaTheme="minorEastAsia"/>
        </w:rPr>
        <w:t>但经过</w:t>
      </w:r>
      <w:r>
        <w:rPr>
          <w:rFonts w:hint="eastAsia" w:asciiTheme="minorEastAsia" w:hAnsiTheme="minorEastAsia" w:eastAsiaTheme="minorEastAsia"/>
        </w:rPr>
        <w:t>1</w:t>
      </w:r>
      <w:r>
        <w:rPr>
          <w:rFonts w:asciiTheme="minorEastAsia" w:hAnsiTheme="minorEastAsia" w:eastAsiaTheme="minorEastAsia"/>
        </w:rPr>
        <w:t>0年的发展</w:t>
      </w:r>
      <w:r>
        <w:rPr>
          <w:rFonts w:hint="eastAsia" w:asciiTheme="minorEastAsia" w:hAnsiTheme="minorEastAsia" w:eastAsiaTheme="minorEastAsia"/>
        </w:rPr>
        <w:t>，</w:t>
      </w:r>
      <w:r>
        <w:rPr>
          <w:rFonts w:asciiTheme="minorEastAsia" w:hAnsiTheme="minorEastAsia" w:eastAsiaTheme="minorEastAsia"/>
        </w:rPr>
        <w:t>其主要权重股已经演变为</w:t>
      </w:r>
      <w:r>
        <w:rPr>
          <w:rFonts w:hint="eastAsia" w:asciiTheme="minorEastAsia" w:hAnsiTheme="minorEastAsia" w:eastAsiaTheme="minorEastAsia"/>
        </w:rPr>
        <w:t>TMT、医药、中游制造和消费板块的龙头企业，涵盖了半导体、5G、自主可控、云计算、人工智能、新能源汽车、创新药等热点主题。截至2</w:t>
      </w:r>
      <w:r>
        <w:rPr>
          <w:rFonts w:asciiTheme="minorEastAsia" w:hAnsiTheme="minorEastAsia" w:eastAsiaTheme="minorEastAsia"/>
        </w:rPr>
        <w:t>020年</w:t>
      </w:r>
      <w:r>
        <w:rPr>
          <w:rFonts w:hint="eastAsia" w:asciiTheme="minorEastAsia" w:hAnsiTheme="minorEastAsia" w:eastAsiaTheme="minorEastAsia"/>
        </w:rPr>
        <w:t>第一季度末，创业板指数1</w:t>
      </w:r>
      <w:r>
        <w:rPr>
          <w:rFonts w:asciiTheme="minorEastAsia" w:hAnsiTheme="minorEastAsia" w:eastAsiaTheme="minorEastAsia"/>
        </w:rPr>
        <w:t>00只</w:t>
      </w:r>
      <w:r>
        <w:rPr>
          <w:rFonts w:hint="eastAsia" w:asciiTheme="minorEastAsia" w:hAnsiTheme="minorEastAsia" w:eastAsiaTheme="minorEastAsia"/>
        </w:rPr>
        <w:t>样本股中已经有34只市值高于300亿，其中宁德时代、迈瑞医疗、温氏股份、爱尔眼科、东方财富、智飞生物等总市值超过千亿。自由流动市值均值和中位数也已经变为</w:t>
      </w:r>
      <w:r>
        <w:rPr>
          <w:rFonts w:hint="eastAsia" w:cs="宋体" w:asciiTheme="minorEastAsia" w:hAnsiTheme="minorEastAsia" w:eastAsiaTheme="minorEastAsia"/>
        </w:rPr>
        <w:t>167.33亿和107.34亿，其</w:t>
      </w:r>
      <w:r>
        <w:rPr>
          <w:rFonts w:asciiTheme="minorEastAsia" w:hAnsiTheme="minorEastAsia" w:eastAsiaTheme="minorEastAsia"/>
        </w:rPr>
        <w:t>市值风格已经演变为</w:t>
      </w:r>
      <w:r>
        <w:rPr>
          <w:rFonts w:hint="eastAsia" w:asciiTheme="minorEastAsia" w:hAnsiTheme="minorEastAsia" w:eastAsiaTheme="minorEastAsia"/>
        </w:rPr>
        <w:t>代表创业板中相对市值较大的各类新兴行业的龙头的中盘</w:t>
      </w:r>
      <w:r>
        <w:rPr>
          <w:rFonts w:asciiTheme="minorEastAsia" w:hAnsiTheme="minorEastAsia" w:eastAsiaTheme="minorEastAsia"/>
        </w:rPr>
        <w:t>市值风格</w:t>
      </w:r>
      <w:r>
        <w:rPr>
          <w:rFonts w:hint="eastAsia" w:asciiTheme="minorEastAsia" w:hAnsiTheme="minorEastAsia" w:eastAsiaTheme="minorEastAsia"/>
        </w:rPr>
        <w:t>的</w:t>
      </w:r>
      <w:r>
        <w:rPr>
          <w:rFonts w:asciiTheme="minorEastAsia" w:hAnsiTheme="minorEastAsia" w:eastAsiaTheme="minorEastAsia"/>
        </w:rPr>
        <w:t>市场指数</w:t>
      </w:r>
      <w:r>
        <w:rPr>
          <w:rFonts w:hint="eastAsia" w:asciiTheme="minorEastAsia" w:hAnsiTheme="minorEastAsia" w:eastAsiaTheme="minorEastAsia"/>
        </w:rPr>
        <w:t>。如图</w:t>
      </w:r>
      <w:r>
        <w:rPr>
          <w:rFonts w:asciiTheme="minorEastAsia" w:hAnsiTheme="minorEastAsia" w:eastAsiaTheme="minorEastAsia"/>
        </w:rPr>
        <w:t>1.2</w:t>
      </w:r>
      <w:r>
        <w:rPr>
          <w:rFonts w:hint="eastAsia" w:asciiTheme="minorEastAsia" w:hAnsiTheme="minorEastAsia" w:eastAsiaTheme="minorEastAsia"/>
        </w:rPr>
        <w:t>所示</w:t>
      </w:r>
      <w:r>
        <w:rPr>
          <w:rFonts w:asciiTheme="minorEastAsia" w:hAnsiTheme="minorEastAsia" w:eastAsiaTheme="minorEastAsia"/>
        </w:rPr>
        <w:t>。</w:t>
      </w:r>
    </w:p>
    <w:p>
      <w:pPr>
        <w:spacing w:line="360" w:lineRule="auto"/>
        <w:rPr>
          <w:rFonts w:asciiTheme="minorEastAsia" w:hAnsiTheme="minorEastAsia" w:eastAsiaTheme="minorEastAsia"/>
        </w:rPr>
      </w:pPr>
      <w:r>
        <w:rPr>
          <w:rFonts w:asciiTheme="minorEastAsia" w:hAnsiTheme="minorEastAsia" w:eastAsiaTheme="minorEastAsia"/>
        </w:rPr>
        <w:drawing>
          <wp:inline distT="0" distB="0" distL="0" distR="0">
            <wp:extent cx="5274310" cy="2473325"/>
            <wp:effectExtent l="0" t="0" r="2540" b="3175"/>
            <wp:docPr id="34" name="图片 34" descr="C:\Users\dingxm\Desktop\图表导出\3图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dingxm\Desktop\图表导出\3图1.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74310" cy="2473864"/>
                    </a:xfrm>
                    <a:prstGeom prst="rect">
                      <a:avLst/>
                    </a:prstGeom>
                    <a:noFill/>
                    <a:ln>
                      <a:noFill/>
                    </a:ln>
                  </pic:spPr>
                </pic:pic>
              </a:graphicData>
            </a:graphic>
          </wp:inline>
        </w:drawing>
      </w:r>
    </w:p>
    <w:p>
      <w:pPr>
        <w:pStyle w:val="3"/>
        <w:spacing w:line="240" w:lineRule="auto"/>
        <w:ind w:firstLine="422" w:firstLineChars="200"/>
        <w:rPr>
          <w:sz w:val="21"/>
          <w:szCs w:val="21"/>
          <w:u w:val="single"/>
        </w:rPr>
      </w:pPr>
      <w:bookmarkStart w:id="4" w:name="_Toc41601889"/>
      <w:r>
        <w:rPr>
          <w:rFonts w:hint="eastAsia"/>
          <w:sz w:val="21"/>
          <w:szCs w:val="21"/>
          <w:u w:val="single"/>
        </w:rPr>
        <w:t>1.4 指数编制方案优化</w:t>
      </w:r>
      <w:bookmarkEnd w:id="4"/>
    </w:p>
    <w:p>
      <w:pPr>
        <w:spacing w:line="360" w:lineRule="auto"/>
        <w:ind w:firstLine="422" w:firstLineChars="200"/>
        <w:rPr>
          <w:rFonts w:cs="宋体" w:asciiTheme="minorEastAsia" w:hAnsiTheme="minorEastAsia" w:eastAsiaTheme="minorEastAsia"/>
          <w:b/>
          <w:bCs/>
          <w:color w:val="ED7703"/>
        </w:rPr>
      </w:pPr>
      <w:r>
        <w:rPr>
          <w:rFonts w:hint="eastAsia" w:cs="宋体" w:asciiTheme="minorEastAsia" w:hAnsiTheme="minorEastAsia" w:eastAsiaTheme="minorEastAsia"/>
          <w:b/>
          <w:bCs/>
          <w:color w:val="ED7703"/>
        </w:rPr>
        <w:t>进一步强化指数代表性、稳定性</w:t>
      </w:r>
    </w:p>
    <w:p>
      <w:pPr>
        <w:spacing w:line="360" w:lineRule="auto"/>
        <w:ind w:firstLine="420" w:firstLineChars="200"/>
        <w:rPr>
          <w:rFonts w:cs="宋体" w:asciiTheme="minorEastAsia" w:hAnsiTheme="minorEastAsia" w:eastAsiaTheme="minorEastAsia"/>
        </w:rPr>
      </w:pPr>
      <w:r>
        <w:rPr>
          <w:rFonts w:hint="eastAsia" w:cs="宋体" w:asciiTheme="minorEastAsia" w:hAnsiTheme="minorEastAsia" w:eastAsiaTheme="minorEastAsia"/>
        </w:rPr>
        <w:t>2019年深圳证券信息有限公司对创业板指数编制方案进行优化，主要体现在样本调整周期、选股指标、样本</w:t>
      </w:r>
      <w:r>
        <w:rPr>
          <w:rFonts w:cs="宋体" w:asciiTheme="minorEastAsia" w:hAnsiTheme="minorEastAsia" w:eastAsiaTheme="minorEastAsia"/>
        </w:rPr>
        <w:t>调整实施时间</w:t>
      </w:r>
      <w:r>
        <w:rPr>
          <w:rFonts w:hint="eastAsia" w:cs="宋体" w:asciiTheme="minorEastAsia" w:hAnsiTheme="minorEastAsia" w:eastAsiaTheme="minorEastAsia"/>
        </w:rPr>
        <w:t>：一是优化了样本调期周期，由</w:t>
      </w:r>
      <w:r>
        <w:rPr>
          <w:rFonts w:cs="宋体" w:asciiTheme="minorEastAsia" w:hAnsiTheme="minorEastAsia" w:eastAsiaTheme="minorEastAsia"/>
        </w:rPr>
        <w:t>季度调整</w:t>
      </w:r>
      <w:r>
        <w:rPr>
          <w:rFonts w:hint="eastAsia" w:cs="宋体" w:asciiTheme="minorEastAsia" w:hAnsiTheme="minorEastAsia" w:eastAsiaTheme="minorEastAsia"/>
        </w:rPr>
        <w:t>变更为</w:t>
      </w:r>
      <w:r>
        <w:rPr>
          <w:rFonts w:cs="宋体" w:asciiTheme="minorEastAsia" w:hAnsiTheme="minorEastAsia" w:eastAsiaTheme="minorEastAsia"/>
        </w:rPr>
        <w:t>半年度调整</w:t>
      </w:r>
      <w:r>
        <w:rPr>
          <w:rFonts w:hint="eastAsia" w:cs="宋体" w:asciiTheme="minorEastAsia" w:hAnsiTheme="minorEastAsia" w:eastAsiaTheme="minorEastAsia"/>
        </w:rPr>
        <w:t>，降低指数波动；二是将选样方法变更为剔除成交不活跃的股票后，按总市值选股的新方案，接轨国际通行的指数编制方法；三是将调样实施时间变更为每年的6月和12月，实现与深股通的同步调整，更好地服务跨境投资。</w:t>
      </w:r>
    </w:p>
    <w:p>
      <w:pPr>
        <w:pStyle w:val="3"/>
        <w:spacing w:line="240" w:lineRule="auto"/>
        <w:ind w:firstLine="422" w:firstLineChars="200"/>
        <w:rPr>
          <w:sz w:val="21"/>
          <w:szCs w:val="21"/>
          <w:u w:val="single"/>
        </w:rPr>
      </w:pPr>
      <w:bookmarkStart w:id="5" w:name="_Toc41601890"/>
      <w:r>
        <w:rPr>
          <w:rFonts w:hint="eastAsia"/>
          <w:sz w:val="21"/>
          <w:szCs w:val="21"/>
          <w:u w:val="single"/>
        </w:rPr>
        <w:t>1.5 指数大事记</w:t>
      </w:r>
      <w:bookmarkEnd w:id="5"/>
    </w:p>
    <w:p>
      <w:pPr>
        <w:spacing w:line="360" w:lineRule="auto"/>
        <w:ind w:firstLine="422" w:firstLineChars="200"/>
        <w:rPr>
          <w:rFonts w:cs="宋体" w:asciiTheme="minorEastAsia" w:hAnsiTheme="minorEastAsia" w:eastAsiaTheme="minorEastAsia"/>
          <w:b/>
          <w:bCs/>
          <w:color w:val="ED7703"/>
        </w:rPr>
      </w:pPr>
      <w:r>
        <w:rPr>
          <w:rFonts w:hint="eastAsia" w:cs="宋体" w:asciiTheme="minorEastAsia" w:hAnsiTheme="minorEastAsia" w:eastAsiaTheme="minorEastAsia"/>
          <w:b/>
          <w:bCs/>
          <w:color w:val="ED7703"/>
        </w:rPr>
        <w:t>记录创业板指数成长历程</w:t>
      </w:r>
    </w:p>
    <w:p>
      <w:pPr>
        <w:spacing w:line="360" w:lineRule="auto"/>
        <w:ind w:firstLine="420" w:firstLineChars="200"/>
        <w:rPr>
          <w:rFonts w:cs="姹変华涓瓑绾跨畝" w:asciiTheme="minorEastAsia" w:hAnsiTheme="minorEastAsia" w:eastAsiaTheme="minorEastAsia"/>
        </w:rPr>
      </w:pPr>
      <w:r>
        <w:rPr>
          <w:rFonts w:hint="eastAsia" w:cs="姹変华涓瓑绾跨畝" w:asciiTheme="minorEastAsia" w:hAnsiTheme="minorEastAsia" w:eastAsiaTheme="minorEastAsia"/>
        </w:rPr>
        <w:t>从发布至今，创业板指数10年一瞬的故事里，记录了风雨兼程的来路，也刻画了中国创新创业发展力量十年巨变历程，在此与投资者共同回顾创业板指数历年来的大事记。</w:t>
      </w:r>
    </w:p>
    <w:p>
      <w:pPr>
        <w:spacing w:line="360" w:lineRule="auto"/>
        <w:rPr>
          <w:rFonts w:cs="姹変华涓瓑绾跨畝" w:asciiTheme="minorEastAsia" w:hAnsiTheme="minorEastAsia" w:eastAsiaTheme="minorEastAsia"/>
        </w:rPr>
      </w:pPr>
      <w:r>
        <w:rPr>
          <w:rFonts w:cs="姹変华涓瓑绾跨畝" w:asciiTheme="minorEastAsia" w:hAnsiTheme="minorEastAsia" w:eastAsiaTheme="minorEastAsia"/>
        </w:rPr>
        <w:drawing>
          <wp:inline distT="0" distB="0" distL="0" distR="0">
            <wp:extent cx="5274310" cy="2599055"/>
            <wp:effectExtent l="0" t="0" r="2540" b="0"/>
            <wp:docPr id="37" name="图片 37" descr="C:\Users\dingxm\Desktop\图表导出\4图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dingxm\Desktop\图表导出\4图1.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2599180"/>
                    </a:xfrm>
                    <a:prstGeom prst="rect">
                      <a:avLst/>
                    </a:prstGeom>
                    <a:noFill/>
                    <a:ln>
                      <a:noFill/>
                    </a:ln>
                  </pic:spPr>
                </pic:pic>
              </a:graphicData>
            </a:graphic>
          </wp:inline>
        </w:drawing>
      </w:r>
    </w:p>
    <w:p>
      <w:pPr>
        <w:pStyle w:val="2"/>
        <w:spacing w:line="240" w:lineRule="auto"/>
        <w:ind w:firstLine="422" w:firstLineChars="200"/>
        <w:rPr>
          <w:sz w:val="21"/>
          <w:szCs w:val="21"/>
        </w:rPr>
      </w:pPr>
      <w:bookmarkStart w:id="6" w:name="_Toc41601891"/>
      <w:r>
        <w:rPr>
          <w:rFonts w:hint="eastAsia"/>
          <w:sz w:val="21"/>
          <w:szCs w:val="21"/>
        </w:rPr>
        <w:t>二、创业板指数市场表现</w:t>
      </w:r>
      <w:bookmarkEnd w:id="6"/>
    </w:p>
    <w:p>
      <w:pPr>
        <w:pStyle w:val="3"/>
        <w:spacing w:line="240" w:lineRule="auto"/>
        <w:ind w:firstLine="422" w:firstLineChars="200"/>
        <w:rPr>
          <w:sz w:val="21"/>
          <w:szCs w:val="21"/>
          <w:u w:val="single"/>
        </w:rPr>
      </w:pPr>
      <w:bookmarkStart w:id="7" w:name="_Toc41601892"/>
      <w:bookmarkStart w:id="8" w:name="_Toc41165308"/>
      <w:r>
        <w:rPr>
          <w:rFonts w:hint="eastAsia"/>
          <w:sz w:val="21"/>
          <w:szCs w:val="21"/>
          <w:u w:val="single"/>
        </w:rPr>
        <w:t>2.1指数收益情况</w:t>
      </w:r>
      <w:bookmarkEnd w:id="7"/>
    </w:p>
    <w:p>
      <w:pPr>
        <w:spacing w:line="360" w:lineRule="auto"/>
        <w:ind w:firstLine="422" w:firstLineChars="200"/>
        <w:rPr>
          <w:rFonts w:cs="宋体" w:asciiTheme="minorEastAsia" w:hAnsiTheme="minorEastAsia" w:eastAsiaTheme="minorEastAsia"/>
          <w:b/>
          <w:bCs/>
          <w:color w:val="ED7703"/>
        </w:rPr>
      </w:pPr>
      <w:r>
        <w:rPr>
          <w:rFonts w:hint="eastAsia" w:cs="宋体" w:asciiTheme="minorEastAsia" w:hAnsiTheme="minorEastAsia" w:eastAsiaTheme="minorEastAsia"/>
          <w:b/>
          <w:bCs/>
          <w:color w:val="ED7703"/>
        </w:rPr>
        <w:t>10年涨幅全市场第一</w:t>
      </w:r>
      <w:bookmarkEnd w:id="8"/>
    </w:p>
    <w:p>
      <w:pPr>
        <w:spacing w:line="360" w:lineRule="auto"/>
        <w:ind w:firstLine="420" w:firstLineChars="200"/>
        <w:rPr>
          <w:rFonts w:cs="宋体" w:asciiTheme="minorEastAsia" w:hAnsiTheme="minorEastAsia" w:eastAsiaTheme="minorEastAsia"/>
        </w:rPr>
      </w:pPr>
      <w:r>
        <w:rPr>
          <w:rFonts w:hint="eastAsia" w:cs="宋体" w:asciiTheme="minorEastAsia" w:hAnsiTheme="minorEastAsia" w:eastAsiaTheme="minorEastAsia"/>
        </w:rPr>
        <w:t>受疫情影响，今年全球股票市场出现大幅波动的情况下，创业板指数表现出色，截至5月28日</w:t>
      </w:r>
      <w:r>
        <w:rPr>
          <w:rFonts w:cs="宋体" w:asciiTheme="minorEastAsia" w:hAnsiTheme="minorEastAsia" w:eastAsiaTheme="minorEastAsia"/>
        </w:rPr>
        <w:t>，</w:t>
      </w:r>
      <w:r>
        <w:rPr>
          <w:rFonts w:hint="eastAsia" w:cs="宋体" w:asciiTheme="minorEastAsia" w:hAnsiTheme="minorEastAsia" w:eastAsiaTheme="minorEastAsia"/>
        </w:rPr>
        <w:t>今年以来累计上涨了14.28%，领涨全球市场核心指数。从近1年的市场表现来看，指数累计上涨</w:t>
      </w:r>
      <w:r>
        <w:rPr>
          <w:rFonts w:cs="宋体" w:asciiTheme="minorEastAsia" w:hAnsiTheme="minorEastAsia" w:eastAsiaTheme="minorEastAsia"/>
        </w:rPr>
        <w:t>37.74%</w:t>
      </w:r>
      <w:r>
        <w:rPr>
          <w:rFonts w:hint="eastAsia" w:cs="宋体" w:asciiTheme="minorEastAsia" w:hAnsiTheme="minorEastAsia" w:eastAsiaTheme="minorEastAsia"/>
        </w:rPr>
        <w:t>，收益表现突出。如表</w:t>
      </w:r>
      <w:r>
        <w:rPr>
          <w:rFonts w:cs="宋体" w:asciiTheme="minorEastAsia" w:hAnsiTheme="minorEastAsia" w:eastAsiaTheme="minorEastAsia"/>
        </w:rPr>
        <w:t>2.1</w:t>
      </w:r>
      <w:r>
        <w:rPr>
          <w:rFonts w:hint="eastAsia" w:cs="宋体" w:asciiTheme="minorEastAsia" w:hAnsiTheme="minorEastAsia" w:eastAsiaTheme="minorEastAsia"/>
        </w:rPr>
        <w:t>所示，自指数发布以来，创业板</w:t>
      </w:r>
      <w:r>
        <w:rPr>
          <w:rFonts w:cs="宋体" w:asciiTheme="minorEastAsia" w:hAnsiTheme="minorEastAsia" w:eastAsiaTheme="minorEastAsia"/>
        </w:rPr>
        <w:t>指数</w:t>
      </w:r>
      <w:r>
        <w:rPr>
          <w:rFonts w:hint="eastAsia" w:cs="宋体" w:asciiTheme="minorEastAsia" w:hAnsiTheme="minorEastAsia" w:eastAsiaTheme="minorEastAsia"/>
        </w:rPr>
        <w:t>累计收益达到</w:t>
      </w:r>
      <w:r>
        <w:rPr>
          <w:rFonts w:cs="宋体" w:asciiTheme="minorEastAsia" w:hAnsiTheme="minorEastAsia" w:eastAsiaTheme="minorEastAsia"/>
        </w:rPr>
        <w:t>105.50%</w:t>
      </w:r>
      <w:r>
        <w:rPr>
          <w:rFonts w:hint="eastAsia" w:cs="宋体" w:asciiTheme="minorEastAsia" w:hAnsiTheme="minorEastAsia" w:eastAsiaTheme="minorEastAsia"/>
        </w:rPr>
        <w:t>，在市场知名宽基指数中排名第一，整体表现出了高弹性、高收益的运行特征。</w:t>
      </w:r>
    </w:p>
    <w:p>
      <w:pPr>
        <w:spacing w:line="360" w:lineRule="auto"/>
        <w:rPr>
          <w:rFonts w:cs="宋体" w:asciiTheme="minorEastAsia" w:hAnsiTheme="minorEastAsia" w:eastAsiaTheme="minorEastAsia"/>
        </w:rPr>
      </w:pPr>
      <w:r>
        <w:rPr>
          <w:rFonts w:cs="宋体" w:asciiTheme="minorEastAsia" w:hAnsiTheme="minorEastAsia" w:eastAsiaTheme="minorEastAsia"/>
        </w:rPr>
        <w:drawing>
          <wp:inline distT="0" distB="0" distL="0" distR="0">
            <wp:extent cx="5274310" cy="2120900"/>
            <wp:effectExtent l="0" t="0" r="2540" b="0"/>
            <wp:docPr id="40" name="图片 40" descr="C:\Users\dingxm\Desktop\图表导出\5表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dingxm\Desktop\图表导出\5表2.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4310" cy="2121371"/>
                    </a:xfrm>
                    <a:prstGeom prst="rect">
                      <a:avLst/>
                    </a:prstGeom>
                    <a:noFill/>
                    <a:ln>
                      <a:noFill/>
                    </a:ln>
                  </pic:spPr>
                </pic:pic>
              </a:graphicData>
            </a:graphic>
          </wp:inline>
        </w:drawing>
      </w:r>
    </w:p>
    <w:p>
      <w:pPr>
        <w:pStyle w:val="3"/>
        <w:spacing w:line="240" w:lineRule="auto"/>
        <w:ind w:firstLine="422" w:firstLineChars="200"/>
        <w:rPr>
          <w:sz w:val="21"/>
          <w:szCs w:val="21"/>
          <w:u w:val="single"/>
        </w:rPr>
      </w:pPr>
      <w:bookmarkStart w:id="9" w:name="_Toc41601893"/>
      <w:bookmarkStart w:id="10" w:name="_Toc41165309"/>
      <w:r>
        <w:rPr>
          <w:rFonts w:hint="eastAsia"/>
          <w:sz w:val="21"/>
          <w:szCs w:val="21"/>
          <w:u w:val="single"/>
        </w:rPr>
        <w:t>2.2指数运行特征</w:t>
      </w:r>
      <w:bookmarkEnd w:id="9"/>
    </w:p>
    <w:p>
      <w:pPr>
        <w:spacing w:line="360" w:lineRule="auto"/>
        <w:ind w:firstLine="422" w:firstLineChars="200"/>
        <w:rPr>
          <w:rFonts w:cs="宋体" w:asciiTheme="minorEastAsia" w:hAnsiTheme="minorEastAsia" w:eastAsiaTheme="minorEastAsia"/>
          <w:b/>
          <w:bCs/>
          <w:color w:val="ED7703"/>
        </w:rPr>
      </w:pPr>
      <w:r>
        <w:rPr>
          <w:rFonts w:hint="eastAsia" w:cs="宋体" w:asciiTheme="minorEastAsia" w:hAnsiTheme="minorEastAsia" w:eastAsiaTheme="minorEastAsia"/>
          <w:b/>
          <w:bCs/>
          <w:color w:val="ED7703"/>
        </w:rPr>
        <w:t>10年成交量放大22倍</w:t>
      </w:r>
      <w:bookmarkEnd w:id="10"/>
    </w:p>
    <w:p>
      <w:pPr>
        <w:spacing w:line="360" w:lineRule="auto"/>
        <w:ind w:firstLine="420" w:firstLineChars="200"/>
        <w:rPr>
          <w:rFonts w:cs="宋体" w:asciiTheme="minorEastAsia" w:hAnsiTheme="minorEastAsia" w:eastAsiaTheme="minorEastAsia"/>
        </w:rPr>
      </w:pPr>
      <w:r>
        <w:rPr>
          <w:rFonts w:hint="eastAsia" w:cs="宋体" w:asciiTheme="minorEastAsia" w:hAnsiTheme="minorEastAsia" w:eastAsiaTheme="minorEastAsia"/>
        </w:rPr>
        <w:t>从图</w:t>
      </w:r>
      <w:r>
        <w:rPr>
          <w:rFonts w:cs="宋体" w:asciiTheme="minorEastAsia" w:hAnsiTheme="minorEastAsia" w:eastAsiaTheme="minorEastAsia"/>
        </w:rPr>
        <w:t>2.1</w:t>
      </w:r>
      <w:r>
        <w:rPr>
          <w:rFonts w:hint="eastAsia" w:cs="宋体" w:asciiTheme="minorEastAsia" w:hAnsiTheme="minorEastAsia" w:eastAsiaTheme="minorEastAsia"/>
        </w:rPr>
        <w:t>可看出，10年以来创业板指数相比沪深300指数的涨跌幅弹性更大，成交量逐年放大，投资者活跃度越来越强。创业板指数的成交金额从2010年的1.04万亿元，逐步增长到2019年的23.09万亿元，相比于10年前放大了22倍。如表</w:t>
      </w:r>
      <w:r>
        <w:rPr>
          <w:rFonts w:cs="宋体" w:asciiTheme="minorEastAsia" w:hAnsiTheme="minorEastAsia" w:eastAsiaTheme="minorEastAsia"/>
        </w:rPr>
        <w:t>2.2</w:t>
      </w:r>
      <w:r>
        <w:rPr>
          <w:rFonts w:hint="eastAsia" w:cs="宋体" w:asciiTheme="minorEastAsia" w:hAnsiTheme="minorEastAsia" w:eastAsiaTheme="minorEastAsia"/>
        </w:rPr>
        <w:t>所示，相对于沪深300指数，创业板指数在最近3年、5年、10年均呈现出高波动率、高换手率的特征。</w:t>
      </w:r>
    </w:p>
    <w:p>
      <w:pPr>
        <w:spacing w:line="360" w:lineRule="auto"/>
        <w:rPr>
          <w:rFonts w:cs="宋体" w:asciiTheme="minorEastAsia" w:hAnsiTheme="minorEastAsia" w:eastAsiaTheme="minorEastAsia"/>
        </w:rPr>
      </w:pPr>
      <w:r>
        <w:rPr>
          <w:rFonts w:cs="宋体" w:asciiTheme="minorEastAsia" w:hAnsiTheme="minorEastAsia" w:eastAsiaTheme="minorEastAsia"/>
        </w:rPr>
        <w:drawing>
          <wp:inline distT="0" distB="0" distL="0" distR="0">
            <wp:extent cx="5274310" cy="2687320"/>
            <wp:effectExtent l="0" t="0" r="2540" b="0"/>
            <wp:docPr id="47" name="图片 47" descr="C:\Users\dingxm\Desktop\图表导出\6图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dingxm\Desktop\图表导出\6图2.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74310" cy="2687387"/>
                    </a:xfrm>
                    <a:prstGeom prst="rect">
                      <a:avLst/>
                    </a:prstGeom>
                    <a:noFill/>
                    <a:ln>
                      <a:noFill/>
                    </a:ln>
                  </pic:spPr>
                </pic:pic>
              </a:graphicData>
            </a:graphic>
          </wp:inline>
        </w:drawing>
      </w:r>
    </w:p>
    <w:p>
      <w:pPr>
        <w:spacing w:line="360" w:lineRule="auto"/>
        <w:rPr>
          <w:rFonts w:cs="宋体" w:asciiTheme="minorEastAsia" w:hAnsiTheme="minorEastAsia" w:eastAsiaTheme="minorEastAsia"/>
        </w:rPr>
      </w:pPr>
      <w:r>
        <w:rPr>
          <w:rFonts w:cs="宋体" w:asciiTheme="minorEastAsia" w:hAnsiTheme="minorEastAsia" w:eastAsiaTheme="minorEastAsia"/>
        </w:rPr>
        <w:drawing>
          <wp:inline distT="0" distB="0" distL="0" distR="0">
            <wp:extent cx="5274310" cy="1647190"/>
            <wp:effectExtent l="0" t="0" r="2540" b="0"/>
            <wp:docPr id="48" name="图片 48" descr="C:\Users\dingxm\Desktop\图表导出\7表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dingxm\Desktop\图表导出\7表2.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74310" cy="1647662"/>
                    </a:xfrm>
                    <a:prstGeom prst="rect">
                      <a:avLst/>
                    </a:prstGeom>
                    <a:noFill/>
                    <a:ln>
                      <a:noFill/>
                    </a:ln>
                  </pic:spPr>
                </pic:pic>
              </a:graphicData>
            </a:graphic>
          </wp:inline>
        </w:drawing>
      </w:r>
    </w:p>
    <w:p>
      <w:pPr>
        <w:pStyle w:val="3"/>
        <w:spacing w:line="240" w:lineRule="auto"/>
        <w:ind w:firstLine="422" w:firstLineChars="200"/>
        <w:rPr>
          <w:sz w:val="21"/>
          <w:szCs w:val="21"/>
          <w:u w:val="single"/>
        </w:rPr>
      </w:pPr>
      <w:bookmarkStart w:id="11" w:name="_Toc41601894"/>
      <w:r>
        <w:rPr>
          <w:rFonts w:hint="eastAsia"/>
          <w:sz w:val="21"/>
          <w:szCs w:val="21"/>
          <w:u w:val="single"/>
        </w:rPr>
        <w:t>2.3 指数估值</w:t>
      </w:r>
      <w:bookmarkEnd w:id="11"/>
    </w:p>
    <w:p>
      <w:pPr>
        <w:spacing w:line="360" w:lineRule="auto"/>
        <w:ind w:firstLine="422" w:firstLineChars="200"/>
        <w:rPr>
          <w:rFonts w:cs="宋体" w:asciiTheme="minorEastAsia" w:hAnsiTheme="minorEastAsia" w:eastAsiaTheme="minorEastAsia"/>
          <w:b/>
          <w:bCs/>
          <w:color w:val="ED7703"/>
        </w:rPr>
      </w:pPr>
      <w:r>
        <w:rPr>
          <w:rFonts w:hint="eastAsia" w:cs="宋体" w:asciiTheme="minorEastAsia" w:hAnsiTheme="minorEastAsia" w:eastAsiaTheme="minorEastAsia"/>
          <w:b/>
          <w:bCs/>
          <w:color w:val="ED7703"/>
        </w:rPr>
        <w:t>估值处于历史分位点7</w:t>
      </w:r>
      <w:r>
        <w:rPr>
          <w:rFonts w:cs="宋体" w:asciiTheme="minorEastAsia" w:hAnsiTheme="minorEastAsia" w:eastAsiaTheme="minorEastAsia"/>
          <w:b/>
          <w:bCs/>
          <w:color w:val="ED7703"/>
        </w:rPr>
        <w:t>3</w:t>
      </w:r>
      <w:r>
        <w:rPr>
          <w:rFonts w:hint="eastAsia" w:cs="宋体" w:asciiTheme="minorEastAsia" w:hAnsiTheme="minorEastAsia" w:eastAsiaTheme="minorEastAsia"/>
          <w:b/>
          <w:bCs/>
          <w:color w:val="ED7703"/>
        </w:rPr>
        <w:t>%</w:t>
      </w:r>
    </w:p>
    <w:p>
      <w:pPr>
        <w:spacing w:line="360" w:lineRule="auto"/>
        <w:ind w:firstLine="420" w:firstLineChars="200"/>
        <w:rPr>
          <w:rFonts w:asciiTheme="minorEastAsia" w:hAnsiTheme="minorEastAsia" w:eastAsiaTheme="minorEastAsia"/>
        </w:rPr>
      </w:pPr>
      <w:r>
        <w:rPr>
          <w:rFonts w:hint="eastAsia" w:asciiTheme="minorEastAsia" w:hAnsiTheme="minorEastAsia" w:eastAsiaTheme="minorEastAsia"/>
        </w:rPr>
        <w:t>估值方面，创业板指数市盈率在2015年达到了峰值，随后伴随着市场回调一路向下，在2019年初的时候出现了阶段性的增长，目前的市盈率保持在60倍左右。如</w:t>
      </w:r>
      <w:r>
        <w:rPr>
          <w:rFonts w:asciiTheme="minorEastAsia" w:hAnsiTheme="minorEastAsia" w:eastAsiaTheme="minorEastAsia"/>
        </w:rPr>
        <w:t>图2.2</w:t>
      </w:r>
      <w:r>
        <w:rPr>
          <w:rFonts w:hint="eastAsia" w:asciiTheme="minorEastAsia" w:hAnsiTheme="minorEastAsia" w:eastAsiaTheme="minorEastAsia"/>
        </w:rPr>
        <w:t>所示</w:t>
      </w:r>
      <w:r>
        <w:rPr>
          <w:rFonts w:asciiTheme="minorEastAsia" w:hAnsiTheme="minorEastAsia" w:eastAsiaTheme="minorEastAsia"/>
        </w:rPr>
        <w:t>，目前创业板指数的估值水平处于历史估值中等偏上位置</w:t>
      </w:r>
      <w:r>
        <w:rPr>
          <w:rFonts w:hint="eastAsia" w:asciiTheme="minorEastAsia" w:hAnsiTheme="minorEastAsia" w:eastAsiaTheme="minorEastAsia"/>
        </w:rPr>
        <w:t>，截至2020年5月28日</w:t>
      </w:r>
      <w:r>
        <w:rPr>
          <w:rFonts w:asciiTheme="minorEastAsia" w:hAnsiTheme="minorEastAsia" w:eastAsiaTheme="minorEastAsia"/>
        </w:rPr>
        <w:t>，</w:t>
      </w:r>
      <w:r>
        <w:rPr>
          <w:rFonts w:hint="eastAsia" w:asciiTheme="minorEastAsia" w:hAnsiTheme="minorEastAsia" w:eastAsiaTheme="minorEastAsia"/>
        </w:rPr>
        <w:t>最新</w:t>
      </w:r>
      <w:r>
        <w:rPr>
          <w:rFonts w:asciiTheme="minorEastAsia" w:hAnsiTheme="minorEastAsia" w:eastAsiaTheme="minorEastAsia"/>
        </w:rPr>
        <w:t>估值</w:t>
      </w:r>
      <w:r>
        <w:rPr>
          <w:rFonts w:hint="eastAsia" w:asciiTheme="minorEastAsia" w:hAnsiTheme="minorEastAsia" w:eastAsiaTheme="minorEastAsia"/>
        </w:rPr>
        <w:t>58</w:t>
      </w:r>
      <w:r>
        <w:rPr>
          <w:rFonts w:asciiTheme="minorEastAsia" w:hAnsiTheme="minorEastAsia" w:eastAsiaTheme="minorEastAsia"/>
        </w:rPr>
        <w:t>.1</w:t>
      </w:r>
      <w:r>
        <w:rPr>
          <w:rFonts w:hint="eastAsia" w:asciiTheme="minorEastAsia" w:hAnsiTheme="minorEastAsia" w:eastAsiaTheme="minorEastAsia"/>
        </w:rPr>
        <w:t>倍，</w:t>
      </w:r>
      <w:r>
        <w:rPr>
          <w:rFonts w:asciiTheme="minorEastAsia" w:hAnsiTheme="minorEastAsia" w:eastAsiaTheme="minorEastAsia"/>
        </w:rPr>
        <w:t>处于历史分位点</w:t>
      </w:r>
      <w:r>
        <w:rPr>
          <w:rFonts w:hint="eastAsia" w:asciiTheme="minorEastAsia" w:hAnsiTheme="minorEastAsia" w:eastAsiaTheme="minorEastAsia"/>
        </w:rPr>
        <w:t>7</w:t>
      </w:r>
      <w:r>
        <w:rPr>
          <w:rFonts w:asciiTheme="minorEastAsia" w:hAnsiTheme="minorEastAsia" w:eastAsiaTheme="minorEastAsia"/>
        </w:rPr>
        <w:t>3.2%</w:t>
      </w:r>
      <w:r>
        <w:rPr>
          <w:rFonts w:hint="eastAsia" w:asciiTheme="minorEastAsia" w:hAnsiTheme="minorEastAsia" w:eastAsiaTheme="minorEastAsia"/>
        </w:rPr>
        <w:t>。</w:t>
      </w:r>
    </w:p>
    <w:p>
      <w:pPr>
        <w:spacing w:line="360" w:lineRule="auto"/>
        <w:rPr>
          <w:rFonts w:asciiTheme="minorEastAsia" w:hAnsiTheme="minorEastAsia" w:eastAsiaTheme="minorEastAsia"/>
        </w:rPr>
      </w:pPr>
      <w:r>
        <w:rPr>
          <w:rFonts w:asciiTheme="minorEastAsia" w:hAnsiTheme="minorEastAsia" w:eastAsiaTheme="minorEastAsia"/>
        </w:rPr>
        <w:drawing>
          <wp:inline distT="0" distB="0" distL="0" distR="0">
            <wp:extent cx="5274310" cy="2258695"/>
            <wp:effectExtent l="0" t="0" r="2540" b="8255"/>
            <wp:docPr id="49" name="图片 49" descr="C:\Users\dingxm\Desktop\图表导出\8图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dingxm\Desktop\图表导出\8图2.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74310" cy="2259219"/>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rPr>
      </w:pPr>
      <w:r>
        <w:rPr>
          <w:rFonts w:hint="eastAsia" w:asciiTheme="minorEastAsia" w:hAnsiTheme="minorEastAsia" w:eastAsiaTheme="minorEastAsia"/>
        </w:rPr>
        <w:t>如表</w:t>
      </w:r>
      <w:r>
        <w:rPr>
          <w:rFonts w:asciiTheme="minorEastAsia" w:hAnsiTheme="minorEastAsia" w:eastAsiaTheme="minorEastAsia"/>
        </w:rPr>
        <w:t>2.3</w:t>
      </w:r>
      <w:r>
        <w:rPr>
          <w:rFonts w:hint="eastAsia" w:asciiTheme="minorEastAsia" w:hAnsiTheme="minorEastAsia" w:eastAsiaTheme="minorEastAsia"/>
        </w:rPr>
        <w:t>所示</w:t>
      </w:r>
      <w:r>
        <w:rPr>
          <w:rFonts w:asciiTheme="minorEastAsia" w:hAnsiTheme="minorEastAsia" w:eastAsiaTheme="minorEastAsia"/>
        </w:rPr>
        <w:t>，</w:t>
      </w:r>
      <w:r>
        <w:rPr>
          <w:rFonts w:hint="eastAsia" w:asciiTheme="minorEastAsia" w:hAnsiTheme="minorEastAsia" w:eastAsiaTheme="minorEastAsia"/>
        </w:rPr>
        <w:t>创业板指数20</w:t>
      </w:r>
      <w:r>
        <w:rPr>
          <w:rFonts w:asciiTheme="minorEastAsia" w:hAnsiTheme="minorEastAsia" w:eastAsiaTheme="minorEastAsia"/>
        </w:rPr>
        <w:t>1</w:t>
      </w:r>
      <w:r>
        <w:rPr>
          <w:rFonts w:hint="eastAsia" w:asciiTheme="minorEastAsia" w:hAnsiTheme="minorEastAsia" w:eastAsiaTheme="minorEastAsia"/>
        </w:rPr>
        <w:t>9年年报整体</w:t>
      </w:r>
      <w:r>
        <w:rPr>
          <w:rFonts w:cs="Arial" w:asciiTheme="minorEastAsia" w:hAnsiTheme="minorEastAsia" w:eastAsiaTheme="minorEastAsia"/>
        </w:rPr>
        <w:t>归属母公司股东的净利润合计(同比增长率) 12.60</w:t>
      </w:r>
      <w:r>
        <w:rPr>
          <w:rFonts w:hint="eastAsia" w:cs="Arial" w:asciiTheme="minorEastAsia" w:hAnsiTheme="minorEastAsia" w:eastAsiaTheme="minorEastAsia"/>
        </w:rPr>
        <w:t>%，2</w:t>
      </w:r>
      <w:r>
        <w:rPr>
          <w:rFonts w:cs="Arial" w:asciiTheme="minorEastAsia" w:hAnsiTheme="minorEastAsia" w:eastAsiaTheme="minorEastAsia"/>
        </w:rPr>
        <w:t>019年</w:t>
      </w:r>
      <w:r>
        <w:rPr>
          <w:rFonts w:asciiTheme="minorEastAsia" w:hAnsiTheme="minorEastAsia" w:eastAsiaTheme="minorEastAsia"/>
        </w:rPr>
        <w:t>静态市盈率估值</w:t>
      </w:r>
      <w:r>
        <w:rPr>
          <w:rFonts w:hint="eastAsia" w:asciiTheme="minorEastAsia" w:hAnsiTheme="minorEastAsia" w:eastAsiaTheme="minorEastAsia"/>
        </w:rPr>
        <w:t>4</w:t>
      </w:r>
      <w:r>
        <w:rPr>
          <w:rFonts w:asciiTheme="minorEastAsia" w:hAnsiTheme="minorEastAsia" w:eastAsiaTheme="minorEastAsia"/>
        </w:rPr>
        <w:t>9.88倍</w:t>
      </w:r>
      <w:r>
        <w:rPr>
          <w:rFonts w:hint="eastAsia" w:asciiTheme="minorEastAsia" w:hAnsiTheme="minorEastAsia" w:eastAsiaTheme="minorEastAsia"/>
        </w:rPr>
        <w:t>；市净率</w:t>
      </w:r>
      <w:r>
        <w:rPr>
          <w:rFonts w:asciiTheme="minorEastAsia" w:hAnsiTheme="minorEastAsia" w:eastAsiaTheme="minorEastAsia"/>
        </w:rPr>
        <w:t>6.08倍</w:t>
      </w:r>
      <w:r>
        <w:rPr>
          <w:rFonts w:hint="eastAsia" w:asciiTheme="minorEastAsia" w:hAnsiTheme="minorEastAsia" w:eastAsiaTheme="minorEastAsia"/>
        </w:rPr>
        <w:t>，</w:t>
      </w:r>
      <w:r>
        <w:rPr>
          <w:rFonts w:asciiTheme="minorEastAsia" w:hAnsiTheme="minorEastAsia" w:eastAsiaTheme="minorEastAsia"/>
        </w:rPr>
        <w:t>净资产收益率</w:t>
      </w:r>
      <w:r>
        <w:rPr>
          <w:rFonts w:hint="eastAsia" w:asciiTheme="minorEastAsia" w:hAnsiTheme="minorEastAsia" w:eastAsiaTheme="minorEastAsia"/>
        </w:rPr>
        <w:t>（ROE）</w:t>
      </w:r>
      <w:r>
        <w:rPr>
          <w:rFonts w:asciiTheme="minorEastAsia" w:hAnsiTheme="minorEastAsia" w:eastAsiaTheme="minorEastAsia"/>
        </w:rPr>
        <w:t>10.71%</w:t>
      </w:r>
      <w:r>
        <w:rPr>
          <w:rFonts w:hint="eastAsia" w:asciiTheme="minorEastAsia" w:hAnsiTheme="minorEastAsia" w:eastAsiaTheme="minorEastAsia"/>
        </w:rPr>
        <w:t>，</w:t>
      </w:r>
      <w:r>
        <w:rPr>
          <w:rFonts w:asciiTheme="minorEastAsia" w:hAnsiTheme="minorEastAsia" w:eastAsiaTheme="minorEastAsia"/>
        </w:rPr>
        <w:t>体现出创业板指主要</w:t>
      </w:r>
      <w:r>
        <w:rPr>
          <w:rFonts w:hint="eastAsia" w:asciiTheme="minorEastAsia" w:hAnsiTheme="minorEastAsia" w:eastAsiaTheme="minorEastAsia"/>
        </w:rPr>
        <w:t>样本股</w:t>
      </w:r>
      <w:r>
        <w:rPr>
          <w:rFonts w:asciiTheme="minorEastAsia" w:hAnsiTheme="minorEastAsia" w:eastAsiaTheme="minorEastAsia"/>
        </w:rPr>
        <w:t>的</w:t>
      </w:r>
      <w:r>
        <w:rPr>
          <w:rFonts w:hint="eastAsia" w:asciiTheme="minorEastAsia" w:hAnsiTheme="minorEastAsia" w:eastAsiaTheme="minorEastAsia"/>
        </w:rPr>
        <w:t>整体成长属性和对应的获得了市场较高的市盈率和市净率估值水平。</w:t>
      </w:r>
    </w:p>
    <w:p>
      <w:pPr>
        <w:spacing w:line="360" w:lineRule="auto"/>
        <w:rPr>
          <w:rFonts w:asciiTheme="minorEastAsia" w:hAnsiTheme="minorEastAsia" w:eastAsiaTheme="minorEastAsia"/>
        </w:rPr>
      </w:pPr>
      <w:r>
        <w:rPr>
          <w:rFonts w:asciiTheme="minorEastAsia" w:hAnsiTheme="minorEastAsia" w:eastAsiaTheme="minorEastAsia"/>
        </w:rPr>
        <w:drawing>
          <wp:inline distT="0" distB="0" distL="0" distR="0">
            <wp:extent cx="5274310" cy="2524760"/>
            <wp:effectExtent l="0" t="0" r="2540" b="8890"/>
            <wp:docPr id="50" name="图片 50" descr="C:\Users\dingxm\Desktop\图表导出\9表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dingxm\Desktop\图表导出\9表2.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74310" cy="2525376"/>
                    </a:xfrm>
                    <a:prstGeom prst="rect">
                      <a:avLst/>
                    </a:prstGeom>
                    <a:noFill/>
                    <a:ln>
                      <a:noFill/>
                    </a:ln>
                  </pic:spPr>
                </pic:pic>
              </a:graphicData>
            </a:graphic>
          </wp:inline>
        </w:drawing>
      </w:r>
    </w:p>
    <w:p>
      <w:pPr>
        <w:spacing w:line="360" w:lineRule="auto"/>
        <w:ind w:firstLine="420" w:firstLineChars="200"/>
        <w:rPr>
          <w:rFonts w:cs="宋体" w:asciiTheme="minorEastAsia" w:hAnsiTheme="minorEastAsia" w:eastAsiaTheme="minorEastAsia"/>
        </w:rPr>
      </w:pPr>
      <w:r>
        <w:rPr>
          <w:rFonts w:hint="eastAsia" w:cs="宋体" w:asciiTheme="minorEastAsia" w:hAnsiTheme="minorEastAsia" w:eastAsiaTheme="minorEastAsia"/>
        </w:rPr>
        <w:t>创业板指数主要财务比率比较2</w:t>
      </w:r>
      <w:r>
        <w:rPr>
          <w:rFonts w:cs="宋体" w:asciiTheme="minorEastAsia" w:hAnsiTheme="minorEastAsia" w:eastAsiaTheme="minorEastAsia"/>
        </w:rPr>
        <w:t>019年年报</w:t>
      </w:r>
      <w:r>
        <w:rPr>
          <w:rFonts w:hint="eastAsia" w:cs="宋体" w:asciiTheme="minorEastAsia" w:hAnsiTheme="minorEastAsia" w:eastAsiaTheme="minorEastAsia"/>
        </w:rPr>
        <w:t>，主营业务收入增长率和销售毛利率两项指标在主要市场指数中排名第一，凸显新经济产业和成长风格特征。如表</w:t>
      </w:r>
      <w:r>
        <w:rPr>
          <w:rFonts w:cs="宋体" w:asciiTheme="minorEastAsia" w:hAnsiTheme="minorEastAsia" w:eastAsiaTheme="minorEastAsia"/>
        </w:rPr>
        <w:t>2.4</w:t>
      </w:r>
      <w:r>
        <w:rPr>
          <w:rFonts w:hint="eastAsia" w:cs="宋体" w:asciiTheme="minorEastAsia" w:hAnsiTheme="minorEastAsia" w:eastAsiaTheme="minorEastAsia"/>
        </w:rPr>
        <w:t>所示</w:t>
      </w:r>
      <w:r>
        <w:rPr>
          <w:rFonts w:cs="宋体" w:asciiTheme="minorEastAsia" w:hAnsiTheme="minorEastAsia" w:eastAsiaTheme="minorEastAsia"/>
        </w:rPr>
        <w:t>。</w:t>
      </w:r>
    </w:p>
    <w:p>
      <w:pPr>
        <w:spacing w:line="360" w:lineRule="auto"/>
        <w:rPr>
          <w:rFonts w:cs="宋体" w:asciiTheme="minorEastAsia" w:hAnsiTheme="minorEastAsia" w:eastAsiaTheme="minorEastAsia"/>
        </w:rPr>
      </w:pPr>
      <w:r>
        <w:rPr>
          <w:rFonts w:cs="宋体" w:asciiTheme="minorEastAsia" w:hAnsiTheme="minorEastAsia" w:eastAsiaTheme="minorEastAsia"/>
        </w:rPr>
        <w:drawing>
          <wp:inline distT="0" distB="0" distL="0" distR="0">
            <wp:extent cx="5274310" cy="2193290"/>
            <wp:effectExtent l="0" t="0" r="2540" b="0"/>
            <wp:docPr id="51" name="图片 51" descr="C:\Users\dingxm\Desktop\图表导出\10表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dingxm\Desktop\图表导出\10表2.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4310" cy="2193669"/>
                    </a:xfrm>
                    <a:prstGeom prst="rect">
                      <a:avLst/>
                    </a:prstGeom>
                    <a:noFill/>
                    <a:ln>
                      <a:noFill/>
                    </a:ln>
                  </pic:spPr>
                </pic:pic>
              </a:graphicData>
            </a:graphic>
          </wp:inline>
        </w:drawing>
      </w:r>
    </w:p>
    <w:p>
      <w:pPr>
        <w:pStyle w:val="2"/>
        <w:spacing w:line="240" w:lineRule="auto"/>
        <w:ind w:firstLine="422" w:firstLineChars="200"/>
        <w:rPr>
          <w:sz w:val="21"/>
          <w:szCs w:val="21"/>
        </w:rPr>
      </w:pPr>
      <w:bookmarkStart w:id="12" w:name="_Toc41601895"/>
      <w:r>
        <w:rPr>
          <w:rFonts w:hint="eastAsia"/>
          <w:sz w:val="21"/>
          <w:szCs w:val="21"/>
        </w:rPr>
        <w:t>三、创业板指数价值解读</w:t>
      </w:r>
      <w:bookmarkEnd w:id="12"/>
    </w:p>
    <w:p>
      <w:pPr>
        <w:pStyle w:val="3"/>
        <w:spacing w:line="240" w:lineRule="auto"/>
        <w:ind w:firstLine="422" w:firstLineChars="200"/>
        <w:rPr>
          <w:sz w:val="21"/>
          <w:szCs w:val="21"/>
          <w:u w:val="single"/>
        </w:rPr>
      </w:pPr>
      <w:bookmarkStart w:id="13" w:name="_Toc41601896"/>
      <w:r>
        <w:rPr>
          <w:rFonts w:hint="eastAsia"/>
          <w:sz w:val="21"/>
          <w:szCs w:val="21"/>
          <w:u w:val="single"/>
        </w:rPr>
        <w:t>3.1 指数为</w:t>
      </w:r>
      <w:r>
        <w:rPr>
          <w:sz w:val="21"/>
          <w:szCs w:val="21"/>
          <w:u w:val="single"/>
        </w:rPr>
        <w:t>投资者带来良好回报</w:t>
      </w:r>
      <w:bookmarkEnd w:id="13"/>
    </w:p>
    <w:p>
      <w:pPr>
        <w:spacing w:line="360" w:lineRule="auto"/>
        <w:ind w:firstLine="422" w:firstLineChars="200"/>
        <w:rPr>
          <w:rFonts w:cs="宋体" w:asciiTheme="minorEastAsia" w:hAnsiTheme="minorEastAsia" w:eastAsiaTheme="minorEastAsia"/>
          <w:b/>
          <w:bCs/>
          <w:color w:val="ED7703"/>
          <w:lang w:val="en"/>
        </w:rPr>
      </w:pPr>
      <w:bookmarkStart w:id="14" w:name="_Toc41165314"/>
      <w:r>
        <w:rPr>
          <w:rFonts w:hint="eastAsia" w:cs="宋体" w:asciiTheme="minorEastAsia" w:hAnsiTheme="minorEastAsia" w:eastAsiaTheme="minorEastAsia"/>
          <w:b/>
          <w:bCs/>
          <w:color w:val="ED7703"/>
        </w:rPr>
        <w:t>多只个股上市以来涨幅超10倍</w:t>
      </w:r>
      <w:bookmarkEnd w:id="14"/>
    </w:p>
    <w:p>
      <w:pPr>
        <w:spacing w:line="360" w:lineRule="auto"/>
        <w:ind w:firstLine="420" w:firstLineChars="200"/>
        <w:rPr>
          <w:rFonts w:cs="宋体" w:asciiTheme="minorEastAsia" w:hAnsiTheme="minorEastAsia" w:eastAsiaTheme="minorEastAsia"/>
        </w:rPr>
      </w:pPr>
      <w:r>
        <w:rPr>
          <w:rFonts w:hint="eastAsia" w:asciiTheme="minorEastAsia" w:hAnsiTheme="minorEastAsia" w:eastAsiaTheme="minorEastAsia"/>
        </w:rPr>
        <w:t>创业板作为中国新经济的典型代表，成立至今培育了相当一批有影响力、核心竞争力突出的高成长企业，在我国经济结构转型升级过程中为推动新经济、助力创新创业成长发挥了重要的作用，这些企业也为投资者提供了丰厚的回报。如表</w:t>
      </w:r>
      <w:r>
        <w:rPr>
          <w:rFonts w:asciiTheme="minorEastAsia" w:hAnsiTheme="minorEastAsia" w:eastAsiaTheme="minorEastAsia"/>
        </w:rPr>
        <w:t>3.1</w:t>
      </w:r>
      <w:r>
        <w:rPr>
          <w:rFonts w:hint="eastAsia" w:asciiTheme="minorEastAsia" w:hAnsiTheme="minorEastAsia" w:eastAsiaTheme="minorEastAsia"/>
        </w:rPr>
        <w:t>所示</w:t>
      </w:r>
      <w:r>
        <w:rPr>
          <w:rFonts w:asciiTheme="minorEastAsia" w:hAnsiTheme="minorEastAsia" w:eastAsiaTheme="minorEastAsia"/>
        </w:rPr>
        <w:t>，</w:t>
      </w:r>
      <w:r>
        <w:rPr>
          <w:rFonts w:hint="eastAsia" w:asciiTheme="minorEastAsia" w:hAnsiTheme="minorEastAsia" w:eastAsiaTheme="minorEastAsia"/>
        </w:rPr>
        <w:t>截至2020年5月28日</w:t>
      </w:r>
      <w:r>
        <w:rPr>
          <w:rFonts w:asciiTheme="minorEastAsia" w:hAnsiTheme="minorEastAsia" w:eastAsiaTheme="minorEastAsia"/>
        </w:rPr>
        <w:t>，创业板指数</w:t>
      </w:r>
      <w:r>
        <w:rPr>
          <w:rFonts w:hint="eastAsia" w:asciiTheme="minorEastAsia" w:hAnsiTheme="minorEastAsia" w:eastAsiaTheme="minorEastAsia"/>
        </w:rPr>
        <w:t>样本股中，</w:t>
      </w:r>
      <w:r>
        <w:rPr>
          <w:rFonts w:asciiTheme="minorEastAsia" w:hAnsiTheme="minorEastAsia" w:eastAsiaTheme="minorEastAsia"/>
        </w:rPr>
        <w:t>有1</w:t>
      </w:r>
      <w:r>
        <w:rPr>
          <w:rFonts w:hint="eastAsia" w:asciiTheme="minorEastAsia" w:hAnsiTheme="minorEastAsia" w:eastAsiaTheme="minorEastAsia"/>
        </w:rPr>
        <w:t>4只个股上市以来涨幅超过10倍，主要集中在</w:t>
      </w:r>
      <w:r>
        <w:rPr>
          <w:rFonts w:asciiTheme="minorEastAsia" w:hAnsiTheme="minorEastAsia" w:eastAsiaTheme="minorEastAsia"/>
        </w:rPr>
        <w:t>医药卫生</w:t>
      </w:r>
      <w:r>
        <w:rPr>
          <w:rFonts w:hint="eastAsia" w:asciiTheme="minorEastAsia" w:hAnsiTheme="minorEastAsia" w:eastAsiaTheme="minorEastAsia"/>
        </w:rPr>
        <w:t>和</w:t>
      </w:r>
      <w:r>
        <w:rPr>
          <w:rFonts w:asciiTheme="minorEastAsia" w:hAnsiTheme="minorEastAsia" w:eastAsiaTheme="minorEastAsia"/>
        </w:rPr>
        <w:t>信息技术</w:t>
      </w:r>
      <w:r>
        <w:rPr>
          <w:rFonts w:hint="eastAsia" w:asciiTheme="minorEastAsia" w:hAnsiTheme="minorEastAsia" w:eastAsiaTheme="minorEastAsia"/>
        </w:rPr>
        <w:t>行业，涨幅最高的是</w:t>
      </w:r>
      <w:r>
        <w:rPr>
          <w:rFonts w:hint="eastAsia" w:cs="宋体" w:asciiTheme="minorEastAsia" w:hAnsiTheme="minorEastAsia" w:eastAsiaTheme="minorEastAsia"/>
        </w:rPr>
        <w:t>康泰生物，自</w:t>
      </w:r>
      <w:r>
        <w:rPr>
          <w:rFonts w:cs="宋体" w:asciiTheme="minorEastAsia" w:hAnsiTheme="minorEastAsia" w:eastAsiaTheme="minorEastAsia"/>
        </w:rPr>
        <w:t>上市以来</w:t>
      </w:r>
      <w:r>
        <w:rPr>
          <w:rFonts w:hint="eastAsia" w:cs="宋体" w:asciiTheme="minorEastAsia" w:hAnsiTheme="minorEastAsia" w:eastAsiaTheme="minorEastAsia"/>
        </w:rPr>
        <w:t>上涨44倍。</w:t>
      </w:r>
    </w:p>
    <w:p>
      <w:pPr>
        <w:spacing w:line="360" w:lineRule="auto"/>
        <w:rPr>
          <w:rFonts w:cs="宋体" w:asciiTheme="minorEastAsia" w:hAnsiTheme="minorEastAsia" w:eastAsiaTheme="minorEastAsia"/>
        </w:rPr>
      </w:pPr>
      <w:r>
        <w:rPr>
          <w:rFonts w:cs="宋体" w:asciiTheme="minorEastAsia" w:hAnsiTheme="minorEastAsia" w:eastAsiaTheme="minorEastAsia"/>
        </w:rPr>
        <w:drawing>
          <wp:inline distT="0" distB="0" distL="0" distR="0">
            <wp:extent cx="5274310" cy="3529330"/>
            <wp:effectExtent l="0" t="0" r="2540" b="0"/>
            <wp:docPr id="52" name="图片 52" descr="C:\Users\dingxm\Desktop\图表导出\11表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dingxm\Desktop\图表导出\11表3.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274310" cy="3529857"/>
                    </a:xfrm>
                    <a:prstGeom prst="rect">
                      <a:avLst/>
                    </a:prstGeom>
                    <a:noFill/>
                    <a:ln>
                      <a:noFill/>
                    </a:ln>
                  </pic:spPr>
                </pic:pic>
              </a:graphicData>
            </a:graphic>
          </wp:inline>
        </w:drawing>
      </w:r>
    </w:p>
    <w:p>
      <w:pPr>
        <w:pStyle w:val="3"/>
        <w:spacing w:line="240" w:lineRule="auto"/>
        <w:ind w:firstLine="422" w:firstLineChars="200"/>
        <w:rPr>
          <w:sz w:val="21"/>
          <w:szCs w:val="21"/>
          <w:u w:val="single"/>
        </w:rPr>
      </w:pPr>
      <w:bookmarkStart w:id="15" w:name="_Toc41601897"/>
      <w:r>
        <w:rPr>
          <w:rFonts w:hint="eastAsia"/>
          <w:sz w:val="21"/>
          <w:szCs w:val="21"/>
          <w:u w:val="single"/>
        </w:rPr>
        <w:t>3.2 指数权重股特色鲜明</w:t>
      </w:r>
      <w:bookmarkEnd w:id="15"/>
    </w:p>
    <w:p>
      <w:pPr>
        <w:spacing w:line="360" w:lineRule="auto"/>
        <w:ind w:firstLine="422" w:firstLineChars="200"/>
        <w:rPr>
          <w:rFonts w:cs="宋体" w:asciiTheme="minorEastAsia" w:hAnsiTheme="minorEastAsia" w:eastAsiaTheme="minorEastAsia"/>
          <w:b/>
          <w:bCs/>
          <w:color w:val="ED7703"/>
        </w:rPr>
      </w:pPr>
      <w:r>
        <w:rPr>
          <w:rFonts w:hint="eastAsia" w:cs="宋体" w:asciiTheme="minorEastAsia" w:hAnsiTheme="minorEastAsia" w:eastAsiaTheme="minorEastAsia"/>
          <w:b/>
          <w:bCs/>
          <w:color w:val="ED7703"/>
        </w:rPr>
        <w:t>与传统规模指数样本重合度低</w:t>
      </w:r>
    </w:p>
    <w:p>
      <w:pPr>
        <w:spacing w:line="360" w:lineRule="auto"/>
        <w:ind w:firstLine="420" w:firstLineChars="200"/>
        <w:rPr>
          <w:rFonts w:asciiTheme="minorEastAsia" w:hAnsiTheme="minorEastAsia" w:eastAsiaTheme="minorEastAsia"/>
        </w:rPr>
      </w:pPr>
      <w:r>
        <w:rPr>
          <w:rFonts w:hint="eastAsia" w:asciiTheme="minorEastAsia" w:hAnsiTheme="minorEastAsia" w:eastAsiaTheme="minorEastAsia"/>
        </w:rPr>
        <w:t>创业板指数的样本股中共17只个股同时是沪深300样本股，如温氏股份、爱尔眼科、东方财富、智飞生物和乐普医疗</w:t>
      </w:r>
      <w:r>
        <w:rPr>
          <w:rFonts w:asciiTheme="minorEastAsia" w:hAnsiTheme="minorEastAsia" w:eastAsiaTheme="minorEastAsia"/>
        </w:rPr>
        <w:t>等</w:t>
      </w:r>
      <w:r>
        <w:rPr>
          <w:rFonts w:hint="eastAsia" w:asciiTheme="minorEastAsia" w:hAnsiTheme="minorEastAsia" w:eastAsiaTheme="minorEastAsia"/>
        </w:rPr>
        <w:t>。创业板指数中共</w:t>
      </w:r>
      <w:r>
        <w:rPr>
          <w:rFonts w:asciiTheme="minorEastAsia" w:hAnsiTheme="minorEastAsia" w:eastAsiaTheme="minorEastAsia"/>
        </w:rPr>
        <w:t>31</w:t>
      </w:r>
      <w:r>
        <w:rPr>
          <w:rFonts w:hint="eastAsia" w:asciiTheme="minorEastAsia" w:hAnsiTheme="minorEastAsia" w:eastAsiaTheme="minorEastAsia"/>
        </w:rPr>
        <w:t>只是中证500的样本股，如亿纬锂能、光环新网、卫宁健康、光线传媒、万达信息、华测检测和晶盛机电等。</w:t>
      </w:r>
      <w:r>
        <w:rPr>
          <w:rFonts w:asciiTheme="minorEastAsia" w:hAnsiTheme="minorEastAsia" w:eastAsiaTheme="minorEastAsia"/>
        </w:rPr>
        <w:t>但综合来看创业板指和</w:t>
      </w:r>
      <w:r>
        <w:rPr>
          <w:rFonts w:hint="eastAsia" w:asciiTheme="minorEastAsia" w:hAnsiTheme="minorEastAsia" w:eastAsiaTheme="minorEastAsia"/>
        </w:rPr>
        <w:t>沪深300以及中证500的样本股的重合度较低，行业属性明显，偏向成长型创新型企业的特点鲜明，其风险收益特征和其他主要权重分布于传统金融、地产、制造的主要市场指数有较大的区别，是成长风格下不可或缺的跟踪市场的跟踪工具。</w:t>
      </w:r>
    </w:p>
    <w:p>
      <w:pPr>
        <w:spacing w:line="360" w:lineRule="auto"/>
        <w:rPr>
          <w:rFonts w:asciiTheme="minorEastAsia" w:hAnsiTheme="minorEastAsia" w:eastAsiaTheme="minorEastAsia"/>
        </w:rPr>
      </w:pPr>
      <w:r>
        <w:rPr>
          <w:rFonts w:asciiTheme="minorEastAsia" w:hAnsiTheme="minorEastAsia" w:eastAsiaTheme="minorEastAsia"/>
        </w:rPr>
        <w:drawing>
          <wp:inline distT="0" distB="0" distL="0" distR="0">
            <wp:extent cx="5274310" cy="4742180"/>
            <wp:effectExtent l="0" t="0" r="2540" b="1270"/>
            <wp:docPr id="53" name="图片 53" descr="C:\Users\dingxm\Desktop\图表导出\12表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dingxm\Desktop\图表导出\12表3.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274310" cy="4742726"/>
                    </a:xfrm>
                    <a:prstGeom prst="rect">
                      <a:avLst/>
                    </a:prstGeom>
                    <a:noFill/>
                    <a:ln>
                      <a:noFill/>
                    </a:ln>
                  </pic:spPr>
                </pic:pic>
              </a:graphicData>
            </a:graphic>
          </wp:inline>
        </w:drawing>
      </w:r>
    </w:p>
    <w:p>
      <w:pPr>
        <w:pStyle w:val="3"/>
        <w:spacing w:line="240" w:lineRule="auto"/>
        <w:ind w:firstLine="422" w:firstLineChars="200"/>
        <w:rPr>
          <w:sz w:val="21"/>
          <w:szCs w:val="21"/>
          <w:u w:val="single"/>
        </w:rPr>
      </w:pPr>
      <w:bookmarkStart w:id="16" w:name="_Toc41601898"/>
      <w:r>
        <w:rPr>
          <w:rFonts w:hint="eastAsia"/>
          <w:sz w:val="21"/>
          <w:szCs w:val="21"/>
          <w:u w:val="single"/>
        </w:rPr>
        <w:t>3.3 新经济产业特征显著</w:t>
      </w:r>
      <w:bookmarkEnd w:id="16"/>
    </w:p>
    <w:p>
      <w:pPr>
        <w:spacing w:line="360" w:lineRule="auto"/>
        <w:ind w:firstLine="422" w:firstLineChars="200"/>
        <w:rPr>
          <w:rFonts w:cs="宋体" w:asciiTheme="minorEastAsia" w:hAnsiTheme="minorEastAsia" w:eastAsiaTheme="minorEastAsia"/>
          <w:b/>
          <w:bCs/>
          <w:color w:val="ED7703"/>
        </w:rPr>
      </w:pPr>
      <w:r>
        <w:rPr>
          <w:rFonts w:hint="eastAsia" w:cs="宋体" w:asciiTheme="minorEastAsia" w:hAnsiTheme="minorEastAsia" w:eastAsiaTheme="minorEastAsia"/>
          <w:b/>
          <w:bCs/>
          <w:color w:val="ED7703"/>
        </w:rPr>
        <w:t>科技型创新创业企业聚集地</w:t>
      </w:r>
    </w:p>
    <w:p>
      <w:pPr>
        <w:spacing w:line="360" w:lineRule="auto"/>
        <w:ind w:firstLine="420" w:firstLineChars="200"/>
        <w:rPr>
          <w:rFonts w:asciiTheme="minorEastAsia" w:hAnsiTheme="minorEastAsia" w:eastAsiaTheme="minorEastAsia"/>
        </w:rPr>
      </w:pPr>
      <w:r>
        <w:rPr>
          <w:rFonts w:hint="eastAsia" w:asciiTheme="minorEastAsia" w:hAnsiTheme="minorEastAsia" w:eastAsiaTheme="minorEastAsia"/>
        </w:rPr>
        <w:t>创业板指数具有战略新兴产业占比高、高新技术企业占比高、民营企业占比高的“三高”特征。</w:t>
      </w:r>
      <w:r>
        <w:rPr>
          <w:rFonts w:hint="eastAsia" w:cs="宋体" w:asciiTheme="minorEastAsia" w:hAnsiTheme="minorEastAsia" w:eastAsiaTheme="minorEastAsia"/>
          <w:lang w:val="en"/>
        </w:rPr>
        <w:t>战略新兴产业占指数的8</w:t>
      </w:r>
      <w:r>
        <w:rPr>
          <w:rFonts w:cs="宋体" w:asciiTheme="minorEastAsia" w:hAnsiTheme="minorEastAsia" w:eastAsiaTheme="minorEastAsia"/>
          <w:lang w:val="en"/>
        </w:rPr>
        <w:t>3</w:t>
      </w:r>
      <w:r>
        <w:rPr>
          <w:rFonts w:hint="eastAsia" w:cs="宋体" w:asciiTheme="minorEastAsia" w:hAnsiTheme="minorEastAsia" w:eastAsiaTheme="minorEastAsia"/>
          <w:lang w:val="en"/>
        </w:rPr>
        <w:t>%，</w:t>
      </w:r>
      <w:r>
        <w:rPr>
          <w:rFonts w:hint="eastAsia" w:cs="宋体" w:asciiTheme="minorEastAsia" w:hAnsiTheme="minorEastAsia" w:eastAsiaTheme="minorEastAsia"/>
        </w:rPr>
        <w:t>其中生物、新一代信息技术、新能源</w:t>
      </w:r>
      <w:r>
        <w:rPr>
          <w:rFonts w:cs="宋体" w:asciiTheme="minorEastAsia" w:hAnsiTheme="minorEastAsia" w:eastAsiaTheme="minorEastAsia"/>
        </w:rPr>
        <w:t>汽</w:t>
      </w:r>
      <w:r>
        <w:rPr>
          <w:rFonts w:hint="eastAsia" w:cs="宋体" w:asciiTheme="minorEastAsia" w:hAnsiTheme="minorEastAsia" w:eastAsiaTheme="minorEastAsia"/>
        </w:rPr>
        <w:t>车占指数权重的6</w:t>
      </w:r>
      <w:r>
        <w:rPr>
          <w:rFonts w:cs="宋体" w:asciiTheme="minorEastAsia" w:hAnsiTheme="minorEastAsia" w:eastAsiaTheme="minorEastAsia"/>
        </w:rPr>
        <w:t>0</w:t>
      </w:r>
      <w:r>
        <w:rPr>
          <w:rFonts w:hint="eastAsia" w:cs="宋体" w:asciiTheme="minorEastAsia" w:hAnsiTheme="minorEastAsia" w:eastAsiaTheme="minorEastAsia"/>
        </w:rPr>
        <w:t>%，充分体现对中国前沿行业发展的</w:t>
      </w:r>
      <w:r>
        <w:rPr>
          <w:rFonts w:hint="eastAsia" w:cs="宋体" w:asciiTheme="minorEastAsia" w:hAnsiTheme="minorEastAsia" w:eastAsiaTheme="minorEastAsia"/>
          <w:lang w:val="en"/>
        </w:rPr>
        <w:t>刻画作用；</w:t>
      </w:r>
      <w:r>
        <w:rPr>
          <w:rFonts w:hint="eastAsia"/>
        </w:rPr>
        <w:t>高新技术企业占指数的8</w:t>
      </w:r>
      <w:r>
        <w:t>5</w:t>
      </w:r>
      <w:r>
        <w:rPr>
          <w:rFonts w:hint="eastAsia"/>
        </w:rPr>
        <w:t>%，</w:t>
      </w:r>
      <w:r>
        <w:rPr>
          <w:rFonts w:hint="eastAsia" w:asciiTheme="minorEastAsia" w:hAnsiTheme="minorEastAsia" w:eastAsiaTheme="minorEastAsia"/>
        </w:rPr>
        <w:t>样本上市公司研发支出占营业收入比例的达到5</w:t>
      </w:r>
      <w:r>
        <w:rPr>
          <w:rFonts w:asciiTheme="minorEastAsia" w:hAnsiTheme="minorEastAsia" w:eastAsiaTheme="minorEastAsia"/>
        </w:rPr>
        <w:t>.03</w:t>
      </w:r>
      <w:r>
        <w:rPr>
          <w:rFonts w:hint="eastAsia" w:asciiTheme="minorEastAsia" w:hAnsiTheme="minorEastAsia" w:eastAsiaTheme="minorEastAsia"/>
        </w:rPr>
        <w:t>%，企业平均持有专利数量达到105个，大幅高于市场平均水平；民营企业占指数的80%，侧面凸显创业板指数的市场化基因。</w:t>
      </w:r>
    </w:p>
    <w:p>
      <w:pPr>
        <w:spacing w:line="360" w:lineRule="auto"/>
        <w:rPr>
          <w:rFonts w:asciiTheme="minorEastAsia" w:hAnsiTheme="minorEastAsia" w:eastAsiaTheme="minorEastAsia"/>
        </w:rPr>
      </w:pPr>
      <w:r>
        <w:rPr>
          <w:rFonts w:asciiTheme="minorEastAsia" w:hAnsiTheme="minorEastAsia" w:eastAsiaTheme="minorEastAsia"/>
        </w:rPr>
        <w:drawing>
          <wp:inline distT="0" distB="0" distL="0" distR="0">
            <wp:extent cx="5274310" cy="2553970"/>
            <wp:effectExtent l="0" t="0" r="2540" b="0"/>
            <wp:docPr id="54" name="图片 54" descr="C:\Users\dingxm\Desktop\图表导出\13图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dingxm\Desktop\图表导出\13图3.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274310" cy="2554486"/>
                    </a:xfrm>
                    <a:prstGeom prst="rect">
                      <a:avLst/>
                    </a:prstGeom>
                    <a:noFill/>
                    <a:ln>
                      <a:noFill/>
                    </a:ln>
                  </pic:spPr>
                </pic:pic>
              </a:graphicData>
            </a:graphic>
          </wp:inline>
        </w:drawing>
      </w:r>
    </w:p>
    <w:p>
      <w:pPr>
        <w:spacing w:line="360" w:lineRule="auto"/>
        <w:rPr>
          <w:rFonts w:asciiTheme="minorEastAsia" w:hAnsiTheme="minorEastAsia" w:eastAsiaTheme="minorEastAsia"/>
        </w:rPr>
      </w:pPr>
      <w:r>
        <w:rPr>
          <w:rFonts w:asciiTheme="minorEastAsia" w:hAnsiTheme="minorEastAsia" w:eastAsiaTheme="minorEastAsia"/>
        </w:rPr>
        <w:drawing>
          <wp:inline distT="0" distB="0" distL="0" distR="0">
            <wp:extent cx="5274310" cy="2364105"/>
            <wp:effectExtent l="0" t="0" r="2540" b="0"/>
            <wp:docPr id="55" name="图片 55" descr="C:\Users\dingxm\Desktop\图表导出\14表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dingxm\Desktop\图表导出\14表3.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74310" cy="2364346"/>
                    </a:xfrm>
                    <a:prstGeom prst="rect">
                      <a:avLst/>
                    </a:prstGeom>
                    <a:noFill/>
                    <a:ln>
                      <a:noFill/>
                    </a:ln>
                  </pic:spPr>
                </pic:pic>
              </a:graphicData>
            </a:graphic>
          </wp:inline>
        </w:drawing>
      </w:r>
    </w:p>
    <w:p>
      <w:pPr>
        <w:pStyle w:val="3"/>
        <w:spacing w:line="240" w:lineRule="auto"/>
        <w:ind w:firstLine="422" w:firstLineChars="200"/>
        <w:rPr>
          <w:sz w:val="21"/>
          <w:szCs w:val="21"/>
          <w:u w:val="single"/>
        </w:rPr>
      </w:pPr>
      <w:bookmarkStart w:id="17" w:name="_Toc41601899"/>
      <w:r>
        <w:rPr>
          <w:rFonts w:hint="eastAsia"/>
          <w:sz w:val="21"/>
          <w:szCs w:val="21"/>
          <w:u w:val="single"/>
        </w:rPr>
        <w:t>3.4 长期成长性凸显</w:t>
      </w:r>
      <w:bookmarkEnd w:id="17"/>
    </w:p>
    <w:p>
      <w:pPr>
        <w:spacing w:line="360" w:lineRule="auto"/>
        <w:ind w:firstLine="422" w:firstLineChars="200"/>
        <w:rPr>
          <w:rFonts w:cs="宋体" w:asciiTheme="minorEastAsia" w:hAnsiTheme="minorEastAsia" w:eastAsiaTheme="minorEastAsia"/>
          <w:b/>
          <w:bCs/>
          <w:color w:val="ED7703"/>
        </w:rPr>
      </w:pPr>
      <w:bookmarkStart w:id="18" w:name="_Toc41165318"/>
      <w:r>
        <w:rPr>
          <w:rFonts w:hint="eastAsia" w:cs="宋体" w:asciiTheme="minorEastAsia" w:hAnsiTheme="minorEastAsia" w:eastAsiaTheme="minorEastAsia"/>
          <w:b/>
          <w:bCs/>
          <w:color w:val="ED7703"/>
        </w:rPr>
        <w:t>近年来营业收入增长</w:t>
      </w:r>
      <w:bookmarkEnd w:id="18"/>
      <w:r>
        <w:rPr>
          <w:rFonts w:hint="eastAsia" w:cs="宋体" w:asciiTheme="minorEastAsia" w:hAnsiTheme="minorEastAsia" w:eastAsiaTheme="minorEastAsia"/>
          <w:b/>
          <w:bCs/>
          <w:color w:val="ED7703"/>
        </w:rPr>
        <w:t>高于市场平均水平</w:t>
      </w:r>
    </w:p>
    <w:p>
      <w:pPr>
        <w:spacing w:line="360" w:lineRule="auto"/>
        <w:ind w:firstLine="420"/>
        <w:rPr>
          <w:rFonts w:cs="宋体" w:asciiTheme="minorEastAsia" w:hAnsiTheme="minorEastAsia" w:eastAsiaTheme="minorEastAsia"/>
          <w:lang w:val="en"/>
        </w:rPr>
      </w:pPr>
      <w:r>
        <w:rPr>
          <w:rFonts w:hint="eastAsia" w:cs="宋体" w:asciiTheme="minorEastAsia" w:hAnsiTheme="minorEastAsia" w:eastAsiaTheme="minorEastAsia"/>
          <w:lang w:val="en"/>
        </w:rPr>
        <w:t>创业板指数样本股历年较高的研发投入为业绩的持续高增长奠定了坚实的基础。截至2</w:t>
      </w:r>
      <w:r>
        <w:rPr>
          <w:rFonts w:cs="宋体" w:asciiTheme="minorEastAsia" w:hAnsiTheme="minorEastAsia" w:eastAsiaTheme="minorEastAsia"/>
          <w:lang w:val="en"/>
        </w:rPr>
        <w:t>019 年</w:t>
      </w:r>
      <w:r>
        <w:rPr>
          <w:rFonts w:hint="eastAsia" w:cs="宋体" w:asciiTheme="minorEastAsia" w:hAnsiTheme="minorEastAsia" w:eastAsiaTheme="minorEastAsia"/>
          <w:lang w:val="en"/>
        </w:rPr>
        <w:t>12月31日，创业板指样本股近</w:t>
      </w:r>
      <w:r>
        <w:rPr>
          <w:rFonts w:cs="Arial" w:asciiTheme="minorEastAsia" w:hAnsiTheme="minorEastAsia" w:eastAsiaTheme="minorEastAsia"/>
        </w:rPr>
        <w:t>3年营业收入合计增长率</w:t>
      </w:r>
      <w:r>
        <w:rPr>
          <w:rFonts w:hint="eastAsia" w:cs="Arial" w:asciiTheme="minorEastAsia" w:hAnsiTheme="minorEastAsia" w:eastAsiaTheme="minorEastAsia"/>
        </w:rPr>
        <w:t>9</w:t>
      </w:r>
      <w:r>
        <w:rPr>
          <w:rFonts w:cs="Arial" w:asciiTheme="minorEastAsia" w:hAnsiTheme="minorEastAsia" w:eastAsiaTheme="minorEastAsia"/>
        </w:rPr>
        <w:t>0</w:t>
      </w:r>
      <w:r>
        <w:rPr>
          <w:rFonts w:hint="eastAsia" w:cs="Arial" w:asciiTheme="minorEastAsia" w:hAnsiTheme="minorEastAsia" w:eastAsiaTheme="minorEastAsia"/>
        </w:rPr>
        <w:t>.6</w:t>
      </w:r>
      <w:r>
        <w:rPr>
          <w:rFonts w:cs="Arial" w:asciiTheme="minorEastAsia" w:hAnsiTheme="minorEastAsia" w:eastAsiaTheme="minorEastAsia"/>
        </w:rPr>
        <w:t>4</w:t>
      </w:r>
      <w:r>
        <w:rPr>
          <w:rFonts w:hint="eastAsia" w:cs="Arial" w:asciiTheme="minorEastAsia" w:hAnsiTheme="minorEastAsia" w:eastAsiaTheme="minorEastAsia"/>
        </w:rPr>
        <w:t>%</w:t>
      </w:r>
      <w:r>
        <w:rPr>
          <w:rFonts w:hint="eastAsia" w:cs="宋体" w:asciiTheme="minorEastAsia" w:hAnsiTheme="minorEastAsia" w:eastAsiaTheme="minorEastAsia"/>
          <w:lang w:val="en"/>
        </w:rPr>
        <w:t>，近</w:t>
      </w:r>
      <w:r>
        <w:rPr>
          <w:rFonts w:cs="Arial" w:asciiTheme="minorEastAsia" w:hAnsiTheme="minorEastAsia" w:eastAsiaTheme="minorEastAsia"/>
        </w:rPr>
        <w:t>5年营业收入合计增长率289.09</w:t>
      </w:r>
      <w:r>
        <w:rPr>
          <w:rFonts w:hint="eastAsia" w:cs="Arial" w:asciiTheme="minorEastAsia" w:hAnsiTheme="minorEastAsia" w:eastAsiaTheme="minorEastAsia"/>
        </w:rPr>
        <w:t>%，</w:t>
      </w:r>
      <w:r>
        <w:rPr>
          <w:rFonts w:hint="eastAsia" w:cs="宋体" w:asciiTheme="minorEastAsia" w:hAnsiTheme="minorEastAsia" w:eastAsiaTheme="minorEastAsia"/>
          <w:lang w:val="en"/>
        </w:rPr>
        <w:t>均远高于</w:t>
      </w:r>
      <w:r>
        <w:rPr>
          <w:rFonts w:hint="eastAsia" w:cs="宋体" w:asciiTheme="minorEastAsia" w:hAnsiTheme="minorEastAsia" w:eastAsiaTheme="minorEastAsia"/>
        </w:rPr>
        <w:t>A</w:t>
      </w:r>
      <w:r>
        <w:rPr>
          <w:rFonts w:hint="eastAsia" w:cs="宋体" w:asciiTheme="minorEastAsia" w:hAnsiTheme="minorEastAsia" w:eastAsiaTheme="minorEastAsia"/>
          <w:lang w:val="en"/>
        </w:rPr>
        <w:t>股市场主要表征指数同期水平，创业板指数成长性凸显。</w:t>
      </w:r>
    </w:p>
    <w:p>
      <w:pPr>
        <w:spacing w:line="360" w:lineRule="auto"/>
        <w:rPr>
          <w:rFonts w:cs="宋体" w:asciiTheme="minorEastAsia" w:hAnsiTheme="minorEastAsia" w:eastAsiaTheme="minorEastAsia"/>
          <w:lang w:val="en"/>
        </w:rPr>
      </w:pPr>
      <w:r>
        <w:rPr>
          <w:rFonts w:cs="宋体" w:asciiTheme="minorEastAsia" w:hAnsiTheme="minorEastAsia" w:eastAsiaTheme="minorEastAsia"/>
        </w:rPr>
        <w:drawing>
          <wp:inline distT="0" distB="0" distL="0" distR="0">
            <wp:extent cx="5274310" cy="2360295"/>
            <wp:effectExtent l="0" t="0" r="2540" b="1905"/>
            <wp:docPr id="56" name="图片 56" descr="C:\Users\dingxm\Desktop\图表导出\15表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Users\dingxm\Desktop\图表导出\15表3.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274310" cy="2360417"/>
                    </a:xfrm>
                    <a:prstGeom prst="rect">
                      <a:avLst/>
                    </a:prstGeom>
                    <a:noFill/>
                    <a:ln>
                      <a:noFill/>
                    </a:ln>
                  </pic:spPr>
                </pic:pic>
              </a:graphicData>
            </a:graphic>
          </wp:inline>
        </w:drawing>
      </w:r>
    </w:p>
    <w:p>
      <w:pPr>
        <w:pStyle w:val="2"/>
        <w:spacing w:line="240" w:lineRule="auto"/>
        <w:ind w:firstLine="422" w:firstLineChars="200"/>
        <w:rPr>
          <w:sz w:val="21"/>
          <w:szCs w:val="21"/>
          <w:lang w:val="en"/>
        </w:rPr>
      </w:pPr>
      <w:bookmarkStart w:id="19" w:name="_Toc41165319"/>
      <w:bookmarkStart w:id="20" w:name="_Toc41601900"/>
      <w:r>
        <w:rPr>
          <w:rFonts w:hint="eastAsia"/>
          <w:sz w:val="21"/>
          <w:szCs w:val="21"/>
        </w:rPr>
        <w:t>四</w:t>
      </w:r>
      <w:r>
        <w:rPr>
          <w:sz w:val="21"/>
          <w:szCs w:val="21"/>
          <w:lang w:val="en"/>
        </w:rPr>
        <w:t>、创业板指数基金</w:t>
      </w:r>
      <w:r>
        <w:rPr>
          <w:rFonts w:hint="eastAsia"/>
          <w:sz w:val="21"/>
          <w:szCs w:val="21"/>
          <w:lang w:val="en"/>
        </w:rPr>
        <w:t>个人</w:t>
      </w:r>
      <w:r>
        <w:rPr>
          <w:sz w:val="21"/>
          <w:szCs w:val="21"/>
          <w:lang w:val="en"/>
        </w:rPr>
        <w:t>投资者</w:t>
      </w:r>
      <w:r>
        <w:rPr>
          <w:rFonts w:hint="eastAsia"/>
          <w:sz w:val="21"/>
          <w:szCs w:val="21"/>
          <w:lang w:val="en"/>
        </w:rPr>
        <w:t>行为分析</w:t>
      </w:r>
      <w:bookmarkEnd w:id="19"/>
      <w:bookmarkEnd w:id="20"/>
    </w:p>
    <w:p>
      <w:pPr>
        <w:spacing w:line="360" w:lineRule="auto"/>
        <w:ind w:firstLine="420" w:firstLineChars="200"/>
        <w:rPr>
          <w:rFonts w:asciiTheme="minorEastAsia" w:hAnsiTheme="minorEastAsia" w:eastAsiaTheme="minorEastAsia"/>
        </w:rPr>
      </w:pPr>
      <w:r>
        <w:rPr>
          <w:rFonts w:hint="eastAsia" w:asciiTheme="minorEastAsia" w:hAnsiTheme="minorEastAsia" w:eastAsiaTheme="minorEastAsia"/>
          <w:lang w:val="en"/>
        </w:rPr>
        <w:t>截至</w:t>
      </w:r>
      <w:r>
        <w:rPr>
          <w:rFonts w:hint="eastAsia" w:asciiTheme="minorEastAsia" w:hAnsiTheme="minorEastAsia" w:eastAsiaTheme="minorEastAsia"/>
        </w:rPr>
        <w:t>2</w:t>
      </w:r>
      <w:r>
        <w:rPr>
          <w:rFonts w:asciiTheme="minorEastAsia" w:hAnsiTheme="minorEastAsia" w:eastAsiaTheme="minorEastAsia"/>
        </w:rPr>
        <w:t>020年</w:t>
      </w:r>
      <w:r>
        <w:rPr>
          <w:rFonts w:hint="eastAsia" w:asciiTheme="minorEastAsia" w:hAnsiTheme="minorEastAsia" w:eastAsiaTheme="minorEastAsia"/>
        </w:rPr>
        <w:t>5月</w:t>
      </w:r>
      <w:r>
        <w:rPr>
          <w:rFonts w:asciiTheme="minorEastAsia" w:hAnsiTheme="minorEastAsia" w:eastAsiaTheme="minorEastAsia"/>
        </w:rPr>
        <w:t>28日</w:t>
      </w:r>
      <w:r>
        <w:rPr>
          <w:rFonts w:hint="eastAsia" w:asciiTheme="minorEastAsia" w:hAnsiTheme="minorEastAsia" w:eastAsiaTheme="minorEastAsia"/>
        </w:rPr>
        <w:t>，市场</w:t>
      </w:r>
      <w:r>
        <w:rPr>
          <w:rFonts w:asciiTheme="minorEastAsia" w:hAnsiTheme="minorEastAsia" w:eastAsiaTheme="minorEastAsia"/>
        </w:rPr>
        <w:t>上已</w:t>
      </w:r>
      <w:r>
        <w:rPr>
          <w:rFonts w:hint="eastAsia" w:asciiTheme="minorEastAsia" w:hAnsiTheme="minorEastAsia" w:eastAsiaTheme="minorEastAsia"/>
        </w:rPr>
        <w:t>有</w:t>
      </w:r>
      <w:r>
        <w:rPr>
          <w:rFonts w:asciiTheme="minorEastAsia" w:hAnsiTheme="minorEastAsia" w:eastAsiaTheme="minorEastAsia"/>
        </w:rPr>
        <w:t>18</w:t>
      </w:r>
      <w:r>
        <w:rPr>
          <w:rFonts w:hint="eastAsia" w:asciiTheme="minorEastAsia" w:hAnsiTheme="minorEastAsia" w:eastAsiaTheme="minorEastAsia"/>
        </w:rPr>
        <w:t>家机构开发创业板指数相关产品，</w:t>
      </w:r>
      <w:r>
        <w:rPr>
          <w:rFonts w:asciiTheme="minorEastAsia" w:hAnsiTheme="minorEastAsia" w:eastAsiaTheme="minorEastAsia"/>
        </w:rPr>
        <w:t>已成立</w:t>
      </w:r>
      <w:r>
        <w:rPr>
          <w:rFonts w:hint="eastAsia" w:asciiTheme="minorEastAsia" w:hAnsiTheme="minorEastAsia" w:eastAsiaTheme="minorEastAsia"/>
        </w:rPr>
        <w:t>28只，产品类型涵盖</w:t>
      </w:r>
      <w:r>
        <w:rPr>
          <w:rFonts w:asciiTheme="minorEastAsia" w:hAnsiTheme="minorEastAsia" w:eastAsiaTheme="minorEastAsia"/>
        </w:rPr>
        <w:t>交易型开放式指数基金</w:t>
      </w:r>
      <w:r>
        <w:rPr>
          <w:rFonts w:hint="eastAsia" w:asciiTheme="minorEastAsia" w:hAnsiTheme="minorEastAsia" w:eastAsiaTheme="minorEastAsia"/>
        </w:rPr>
        <w:t>（下称ETF）、场外基金、海外基金、</w:t>
      </w:r>
      <w:r>
        <w:rPr>
          <w:rFonts w:asciiTheme="minorEastAsia" w:hAnsiTheme="minorEastAsia" w:eastAsiaTheme="minorEastAsia"/>
        </w:rPr>
        <w:t>分级基金</w:t>
      </w:r>
      <w:r>
        <w:rPr>
          <w:rFonts w:hint="eastAsia" w:asciiTheme="minorEastAsia" w:hAnsiTheme="minorEastAsia" w:eastAsiaTheme="minorEastAsia"/>
        </w:rPr>
        <w:t>等多种形式，其中ETF是</w:t>
      </w:r>
      <w:r>
        <w:rPr>
          <w:rFonts w:asciiTheme="minorEastAsia" w:hAnsiTheme="minorEastAsia" w:eastAsiaTheme="minorEastAsia"/>
        </w:rPr>
        <w:t>主要</w:t>
      </w:r>
      <w:r>
        <w:rPr>
          <w:rFonts w:hint="eastAsia" w:asciiTheme="minorEastAsia" w:hAnsiTheme="minorEastAsia" w:eastAsiaTheme="minorEastAsia"/>
        </w:rPr>
        <w:t>的</w:t>
      </w:r>
      <w:r>
        <w:rPr>
          <w:rFonts w:asciiTheme="minorEastAsia" w:hAnsiTheme="minorEastAsia" w:eastAsiaTheme="minorEastAsia"/>
        </w:rPr>
        <w:t>产品形式，共有</w:t>
      </w:r>
      <w:r>
        <w:rPr>
          <w:rFonts w:hint="eastAsia" w:asciiTheme="minorEastAsia" w:hAnsiTheme="minorEastAsia" w:eastAsiaTheme="minorEastAsia"/>
        </w:rPr>
        <w:t xml:space="preserve"> 11只。</w:t>
      </w:r>
      <w:r>
        <w:rPr>
          <w:rFonts w:asciiTheme="minorEastAsia" w:hAnsiTheme="minorEastAsia" w:eastAsiaTheme="minorEastAsia"/>
        </w:rPr>
        <w:t>根据</w:t>
      </w:r>
      <w:r>
        <w:rPr>
          <w:rFonts w:hint="eastAsia" w:asciiTheme="minorEastAsia" w:hAnsiTheme="minorEastAsia" w:eastAsiaTheme="minorEastAsia"/>
        </w:rPr>
        <w:t>2</w:t>
      </w:r>
      <w:r>
        <w:rPr>
          <w:rFonts w:asciiTheme="minorEastAsia" w:hAnsiTheme="minorEastAsia" w:eastAsiaTheme="minorEastAsia"/>
        </w:rPr>
        <w:t>020年</w:t>
      </w:r>
      <w:r>
        <w:rPr>
          <w:rFonts w:hint="eastAsia" w:asciiTheme="minorEastAsia" w:hAnsiTheme="minorEastAsia" w:eastAsiaTheme="minorEastAsia"/>
        </w:rPr>
        <w:t>1季报</w:t>
      </w:r>
      <w:r>
        <w:rPr>
          <w:rFonts w:asciiTheme="minorEastAsia" w:hAnsiTheme="minorEastAsia" w:eastAsiaTheme="minorEastAsia"/>
        </w:rPr>
        <w:t>数据</w:t>
      </w:r>
      <w:r>
        <w:rPr>
          <w:rFonts w:hint="eastAsia" w:asciiTheme="minorEastAsia" w:hAnsiTheme="minorEastAsia" w:eastAsiaTheme="minorEastAsia"/>
        </w:rPr>
        <w:t>，</w:t>
      </w:r>
      <w:r>
        <w:rPr>
          <w:rFonts w:asciiTheme="minorEastAsia" w:hAnsiTheme="minorEastAsia" w:eastAsiaTheme="minorEastAsia"/>
        </w:rPr>
        <w:t>跟踪</w:t>
      </w:r>
      <w:r>
        <w:rPr>
          <w:rFonts w:hint="eastAsia" w:asciiTheme="minorEastAsia" w:hAnsiTheme="minorEastAsia" w:eastAsiaTheme="minorEastAsia"/>
        </w:rPr>
        <w:t>创业板</w:t>
      </w:r>
      <w:r>
        <w:rPr>
          <w:rFonts w:asciiTheme="minorEastAsia" w:hAnsiTheme="minorEastAsia" w:eastAsiaTheme="minorEastAsia"/>
        </w:rPr>
        <w:t>的基金总规模</w:t>
      </w:r>
      <w:r>
        <w:rPr>
          <w:rFonts w:hint="eastAsia" w:asciiTheme="minorEastAsia" w:hAnsiTheme="minorEastAsia" w:eastAsiaTheme="minorEastAsia"/>
        </w:rPr>
        <w:t>为</w:t>
      </w:r>
      <w:r>
        <w:rPr>
          <w:rFonts w:asciiTheme="minorEastAsia" w:hAnsiTheme="minorEastAsia" w:eastAsiaTheme="minorEastAsia"/>
        </w:rPr>
        <w:t>413.73亿</w:t>
      </w:r>
      <w:r>
        <w:rPr>
          <w:rFonts w:hint="eastAsia" w:asciiTheme="minorEastAsia" w:hAnsiTheme="minorEastAsia" w:eastAsiaTheme="minorEastAsia"/>
        </w:rPr>
        <w:t>元，</w:t>
      </w:r>
      <w:r>
        <w:rPr>
          <w:rFonts w:asciiTheme="minorEastAsia" w:hAnsiTheme="minorEastAsia" w:eastAsiaTheme="minorEastAsia"/>
        </w:rPr>
        <w:t>其中ETF规模</w:t>
      </w:r>
      <w:r>
        <w:rPr>
          <w:rFonts w:hint="eastAsia" w:asciiTheme="minorEastAsia" w:hAnsiTheme="minorEastAsia" w:eastAsiaTheme="minorEastAsia"/>
        </w:rPr>
        <w:t>2</w:t>
      </w:r>
      <w:r>
        <w:rPr>
          <w:rFonts w:asciiTheme="minorEastAsia" w:hAnsiTheme="minorEastAsia" w:eastAsiaTheme="minorEastAsia"/>
        </w:rPr>
        <w:t>46.15亿</w:t>
      </w:r>
      <w:r>
        <w:rPr>
          <w:rFonts w:hint="eastAsia" w:asciiTheme="minorEastAsia" w:hAnsiTheme="minorEastAsia" w:eastAsiaTheme="minorEastAsia"/>
        </w:rPr>
        <w:t>元。指数基金降低了在个股上的风险暴露，是普通投资者投资创业板，分享制度红利的良好工具性产品。其中基金规模前5大的产品分别为易方达创业板ETF、易方达创业板ETF联接基金</w:t>
      </w:r>
      <w:r>
        <w:rPr>
          <w:rFonts w:asciiTheme="minorEastAsia" w:hAnsiTheme="minorEastAsia" w:eastAsiaTheme="minorEastAsia"/>
        </w:rPr>
        <w:t>、</w:t>
      </w:r>
      <w:r>
        <w:rPr>
          <w:rFonts w:hint="eastAsia" w:asciiTheme="minorEastAsia" w:hAnsiTheme="minorEastAsia" w:eastAsiaTheme="minorEastAsia"/>
        </w:rPr>
        <w:t>富国创业板指数分级基金</w:t>
      </w:r>
      <w:r>
        <w:rPr>
          <w:rFonts w:asciiTheme="minorEastAsia" w:hAnsiTheme="minorEastAsia" w:eastAsiaTheme="minorEastAsia"/>
        </w:rPr>
        <w:t>、</w:t>
      </w:r>
      <w:r>
        <w:rPr>
          <w:rFonts w:hint="eastAsia" w:asciiTheme="minorEastAsia" w:hAnsiTheme="minorEastAsia" w:eastAsiaTheme="minorEastAsia"/>
        </w:rPr>
        <w:t>天弘创业板ETF</w:t>
      </w:r>
      <w:r>
        <w:rPr>
          <w:rFonts w:asciiTheme="minorEastAsia" w:hAnsiTheme="minorEastAsia" w:eastAsiaTheme="minorEastAsia"/>
        </w:rPr>
        <w:t>联接基金</w:t>
      </w:r>
      <w:r>
        <w:rPr>
          <w:rFonts w:hint="eastAsia" w:asciiTheme="minorEastAsia" w:hAnsiTheme="minorEastAsia" w:eastAsiaTheme="minorEastAsia"/>
        </w:rPr>
        <w:t>和</w:t>
      </w:r>
      <w:r>
        <w:rPr>
          <w:rFonts w:asciiTheme="minorEastAsia" w:hAnsiTheme="minorEastAsia" w:eastAsiaTheme="minorEastAsia"/>
        </w:rPr>
        <w:t>天弘创业板</w:t>
      </w:r>
      <w:r>
        <w:rPr>
          <w:rFonts w:hint="eastAsia" w:asciiTheme="minorEastAsia" w:hAnsiTheme="minorEastAsia" w:eastAsiaTheme="minorEastAsia"/>
        </w:rPr>
        <w:t>ETF。</w:t>
      </w:r>
    </w:p>
    <w:p>
      <w:pPr>
        <w:spacing w:line="360" w:lineRule="auto"/>
        <w:rPr>
          <w:rFonts w:cs="宋体" w:asciiTheme="minorEastAsia" w:hAnsiTheme="minorEastAsia" w:eastAsiaTheme="minorEastAsia"/>
          <w:lang w:val="en"/>
        </w:rPr>
      </w:pPr>
      <w:r>
        <w:rPr>
          <w:rFonts w:cs="宋体" w:asciiTheme="minorEastAsia" w:hAnsiTheme="minorEastAsia" w:eastAsiaTheme="minorEastAsia"/>
        </w:rPr>
        <w:drawing>
          <wp:inline distT="0" distB="0" distL="0" distR="0">
            <wp:extent cx="5274310" cy="5915025"/>
            <wp:effectExtent l="0" t="0" r="2540" b="9525"/>
            <wp:docPr id="57" name="图片 57" descr="C:\Users\dingxm\Desktop\图表导出\16表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dingxm\Desktop\图表导出\16表4.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74310" cy="5915114"/>
                    </a:xfrm>
                    <a:prstGeom prst="rect">
                      <a:avLst/>
                    </a:prstGeom>
                    <a:noFill/>
                    <a:ln>
                      <a:noFill/>
                    </a:ln>
                  </pic:spPr>
                </pic:pic>
              </a:graphicData>
            </a:graphic>
          </wp:inline>
        </w:drawing>
      </w:r>
    </w:p>
    <w:p>
      <w:pPr>
        <w:spacing w:line="360" w:lineRule="auto"/>
        <w:ind w:firstLine="480"/>
        <w:rPr>
          <w:rFonts w:asciiTheme="minorEastAsia" w:hAnsiTheme="minorEastAsia" w:eastAsiaTheme="minorEastAsia"/>
        </w:rPr>
      </w:pPr>
      <w:r>
        <w:rPr>
          <w:rFonts w:hint="eastAsia" w:asciiTheme="minorEastAsia" w:hAnsiTheme="minorEastAsia" w:eastAsiaTheme="minorEastAsia"/>
        </w:rPr>
        <w:t>为了更好</w:t>
      </w:r>
      <w:r>
        <w:rPr>
          <w:rFonts w:asciiTheme="minorEastAsia" w:hAnsiTheme="minorEastAsia" w:eastAsiaTheme="minorEastAsia"/>
        </w:rPr>
        <w:t>的观测国内</w:t>
      </w:r>
      <w:r>
        <w:rPr>
          <w:rFonts w:hint="eastAsia" w:asciiTheme="minorEastAsia" w:hAnsiTheme="minorEastAsia" w:eastAsiaTheme="minorEastAsia"/>
        </w:rPr>
        <w:t>个人投资者</w:t>
      </w:r>
      <w:r>
        <w:rPr>
          <w:rFonts w:asciiTheme="minorEastAsia" w:hAnsiTheme="minorEastAsia" w:eastAsiaTheme="minorEastAsia"/>
        </w:rPr>
        <w:t>投资</w:t>
      </w:r>
      <w:r>
        <w:rPr>
          <w:rFonts w:hint="eastAsia" w:asciiTheme="minorEastAsia" w:hAnsiTheme="minorEastAsia" w:eastAsiaTheme="minorEastAsia"/>
        </w:rPr>
        <w:t>创业板</w:t>
      </w:r>
      <w:r>
        <w:rPr>
          <w:rFonts w:asciiTheme="minorEastAsia" w:hAnsiTheme="minorEastAsia" w:eastAsiaTheme="minorEastAsia"/>
        </w:rPr>
        <w:t>指数基金的</w:t>
      </w:r>
      <w:r>
        <w:rPr>
          <w:rFonts w:hint="eastAsia" w:asciiTheme="minorEastAsia" w:hAnsiTheme="minorEastAsia" w:eastAsiaTheme="minorEastAsia"/>
        </w:rPr>
        <w:t>行为</w:t>
      </w:r>
      <w:r>
        <w:rPr>
          <w:rFonts w:asciiTheme="minorEastAsia" w:hAnsiTheme="minorEastAsia" w:eastAsiaTheme="minorEastAsia"/>
        </w:rPr>
        <w:t>，我们选取了业内指数基金</w:t>
      </w:r>
      <w:r>
        <w:rPr>
          <w:rFonts w:hint="eastAsia" w:asciiTheme="minorEastAsia" w:hAnsiTheme="minorEastAsia" w:eastAsiaTheme="minorEastAsia"/>
        </w:rPr>
        <w:t>个人</w:t>
      </w:r>
      <w:r>
        <w:rPr>
          <w:rFonts w:asciiTheme="minorEastAsia" w:hAnsiTheme="minorEastAsia" w:eastAsiaTheme="minorEastAsia"/>
        </w:rPr>
        <w:t>投资者数</w:t>
      </w:r>
      <w:r>
        <w:rPr>
          <w:rFonts w:hint="eastAsia" w:asciiTheme="minorEastAsia" w:hAnsiTheme="minorEastAsia" w:eastAsiaTheme="minorEastAsia"/>
        </w:rPr>
        <w:t>量较</w:t>
      </w:r>
      <w:r>
        <w:rPr>
          <w:rFonts w:asciiTheme="minorEastAsia" w:hAnsiTheme="minorEastAsia" w:eastAsiaTheme="minorEastAsia"/>
        </w:rPr>
        <w:t>多的公司——</w:t>
      </w:r>
      <w:r>
        <w:rPr>
          <w:rFonts w:hint="eastAsia" w:asciiTheme="minorEastAsia" w:hAnsiTheme="minorEastAsia" w:eastAsiaTheme="minorEastAsia"/>
        </w:rPr>
        <w:t>天弘</w:t>
      </w:r>
      <w:r>
        <w:rPr>
          <w:rFonts w:asciiTheme="minorEastAsia" w:hAnsiTheme="minorEastAsia" w:eastAsiaTheme="minorEastAsia"/>
        </w:rPr>
        <w:t>基金。通过</w:t>
      </w:r>
      <w:r>
        <w:rPr>
          <w:rFonts w:hint="eastAsia" w:asciiTheme="minorEastAsia" w:hAnsiTheme="minorEastAsia" w:eastAsiaTheme="minorEastAsia"/>
        </w:rPr>
        <w:t>天弘创业板指数基金</w:t>
      </w:r>
      <w:r>
        <w:rPr>
          <w:rFonts w:asciiTheme="minorEastAsia" w:hAnsiTheme="minorEastAsia" w:eastAsiaTheme="minorEastAsia"/>
        </w:rPr>
        <w:t>个人投资者画像</w:t>
      </w:r>
      <w:r>
        <w:rPr>
          <w:rFonts w:hint="eastAsia" w:asciiTheme="minorEastAsia" w:hAnsiTheme="minorEastAsia" w:eastAsiaTheme="minorEastAsia"/>
        </w:rPr>
        <w:t>，来</w:t>
      </w:r>
      <w:r>
        <w:rPr>
          <w:rFonts w:asciiTheme="minorEastAsia" w:hAnsiTheme="minorEastAsia" w:eastAsiaTheme="minorEastAsia"/>
        </w:rPr>
        <w:t>窥斑见豹，</w:t>
      </w:r>
      <w:r>
        <w:rPr>
          <w:rFonts w:hint="eastAsia" w:asciiTheme="minorEastAsia" w:hAnsiTheme="minorEastAsia" w:eastAsiaTheme="minorEastAsia"/>
        </w:rPr>
        <w:t>了解</w:t>
      </w:r>
      <w:r>
        <w:rPr>
          <w:rFonts w:asciiTheme="minorEastAsia" w:hAnsiTheme="minorEastAsia" w:eastAsiaTheme="minorEastAsia"/>
        </w:rPr>
        <w:t>创业板指数</w:t>
      </w:r>
      <w:r>
        <w:rPr>
          <w:rFonts w:hint="eastAsia" w:asciiTheme="minorEastAsia" w:hAnsiTheme="minorEastAsia" w:eastAsiaTheme="minorEastAsia"/>
        </w:rPr>
        <w:t>基金个人投资者的</w:t>
      </w:r>
      <w:r>
        <w:rPr>
          <w:rFonts w:asciiTheme="minorEastAsia" w:hAnsiTheme="minorEastAsia" w:eastAsiaTheme="minorEastAsia"/>
        </w:rPr>
        <w:t>投资现状</w:t>
      </w:r>
      <w:r>
        <w:rPr>
          <w:rFonts w:hint="eastAsia" w:asciiTheme="minorEastAsia" w:hAnsiTheme="minorEastAsia" w:eastAsiaTheme="minorEastAsia"/>
        </w:rPr>
        <w:t>和变化</w:t>
      </w:r>
      <w:r>
        <w:rPr>
          <w:rFonts w:asciiTheme="minorEastAsia" w:hAnsiTheme="minorEastAsia" w:eastAsiaTheme="minorEastAsia"/>
        </w:rPr>
        <w:t>趋势</w:t>
      </w:r>
      <w:r>
        <w:rPr>
          <w:rFonts w:hint="eastAsia" w:asciiTheme="minorEastAsia" w:hAnsiTheme="minorEastAsia" w:eastAsiaTheme="minorEastAsia"/>
        </w:rPr>
        <w:t>。截至2020年5月28日，天弘</w:t>
      </w:r>
      <w:r>
        <w:rPr>
          <w:rFonts w:asciiTheme="minorEastAsia" w:hAnsiTheme="minorEastAsia" w:eastAsiaTheme="minorEastAsia"/>
        </w:rPr>
        <w:t>创业板</w:t>
      </w:r>
      <w:r>
        <w:rPr>
          <w:rFonts w:hint="eastAsia" w:asciiTheme="minorEastAsia" w:hAnsiTheme="minorEastAsia" w:eastAsiaTheme="minorEastAsia"/>
        </w:rPr>
        <w:t>指数基金的持有人</w:t>
      </w:r>
      <w:r>
        <w:rPr>
          <w:rFonts w:asciiTheme="minorEastAsia" w:hAnsiTheme="minorEastAsia" w:eastAsiaTheme="minorEastAsia"/>
        </w:rPr>
        <w:t>超</w:t>
      </w:r>
      <w:r>
        <w:rPr>
          <w:rFonts w:hint="eastAsia" w:asciiTheme="minorEastAsia" w:hAnsiTheme="minorEastAsia" w:eastAsiaTheme="minorEastAsia"/>
        </w:rPr>
        <w:t>过</w:t>
      </w:r>
      <w:r>
        <w:rPr>
          <w:rFonts w:asciiTheme="minorEastAsia" w:hAnsiTheme="minorEastAsia" w:eastAsiaTheme="minorEastAsia"/>
        </w:rPr>
        <w:t>170</w:t>
      </w:r>
      <w:r>
        <w:rPr>
          <w:rFonts w:hint="eastAsia" w:asciiTheme="minorEastAsia" w:hAnsiTheme="minorEastAsia" w:eastAsiaTheme="minorEastAsia"/>
        </w:rPr>
        <w:t>万人</w:t>
      </w:r>
      <w:r>
        <w:rPr>
          <w:rFonts w:asciiTheme="minorEastAsia" w:hAnsiTheme="minorEastAsia" w:eastAsiaTheme="minorEastAsia"/>
        </w:rPr>
        <w:t>，</w:t>
      </w:r>
      <w:r>
        <w:rPr>
          <w:rFonts w:hint="eastAsia" w:asciiTheme="minorEastAsia" w:hAnsiTheme="minorEastAsia" w:eastAsiaTheme="minorEastAsia"/>
        </w:rPr>
        <w:t>其中99</w:t>
      </w:r>
      <w:r>
        <w:rPr>
          <w:rFonts w:asciiTheme="minorEastAsia" w:hAnsiTheme="minorEastAsia" w:eastAsiaTheme="minorEastAsia"/>
        </w:rPr>
        <w:t>.99%为个人投资者，</w:t>
      </w:r>
      <w:r>
        <w:rPr>
          <w:rFonts w:hint="eastAsia" w:asciiTheme="minorEastAsia" w:hAnsiTheme="minorEastAsia" w:eastAsiaTheme="minorEastAsia"/>
        </w:rPr>
        <w:t>一定程度上能够有效</w:t>
      </w:r>
      <w:r>
        <w:rPr>
          <w:rFonts w:asciiTheme="minorEastAsia" w:hAnsiTheme="minorEastAsia" w:eastAsiaTheme="minorEastAsia"/>
        </w:rPr>
        <w:t>代表个人投资者</w:t>
      </w:r>
      <w:r>
        <w:rPr>
          <w:rFonts w:hint="eastAsia" w:asciiTheme="minorEastAsia" w:hAnsiTheme="minorEastAsia" w:eastAsiaTheme="minorEastAsia"/>
        </w:rPr>
        <w:t>投资</w:t>
      </w:r>
      <w:r>
        <w:rPr>
          <w:rFonts w:asciiTheme="minorEastAsia" w:hAnsiTheme="minorEastAsia" w:eastAsiaTheme="minorEastAsia"/>
        </w:rPr>
        <w:t>创业板指数基金的行为。</w:t>
      </w:r>
      <w:r>
        <w:rPr>
          <w:rFonts w:hint="eastAsia" w:asciiTheme="minorEastAsia" w:hAnsiTheme="minorEastAsia" w:eastAsiaTheme="minorEastAsia"/>
        </w:rPr>
        <w:t>通过对创业板指数基金个人投资者的</w:t>
      </w:r>
      <w:r>
        <w:rPr>
          <w:rFonts w:asciiTheme="minorEastAsia" w:hAnsiTheme="minorEastAsia" w:eastAsiaTheme="minorEastAsia"/>
        </w:rPr>
        <w:t>行为分析</w:t>
      </w:r>
      <w:r>
        <w:rPr>
          <w:rFonts w:hint="eastAsia" w:asciiTheme="minorEastAsia" w:hAnsiTheme="minorEastAsia" w:eastAsiaTheme="minorEastAsia"/>
        </w:rPr>
        <w:t>，</w:t>
      </w:r>
      <w:r>
        <w:rPr>
          <w:rFonts w:asciiTheme="minorEastAsia" w:hAnsiTheme="minorEastAsia" w:eastAsiaTheme="minorEastAsia"/>
        </w:rPr>
        <w:t>报告的最后一部分我们会有针对性的</w:t>
      </w:r>
      <w:r>
        <w:rPr>
          <w:rFonts w:hint="eastAsia" w:asciiTheme="minorEastAsia" w:hAnsiTheme="minorEastAsia" w:eastAsiaTheme="minorEastAsia"/>
        </w:rPr>
        <w:t>向</w:t>
      </w:r>
      <w:r>
        <w:rPr>
          <w:rFonts w:asciiTheme="minorEastAsia" w:hAnsiTheme="minorEastAsia" w:eastAsiaTheme="minorEastAsia"/>
        </w:rPr>
        <w:t>个人投资者参与创业板指数基金投资提出一些建议。</w:t>
      </w:r>
    </w:p>
    <w:p>
      <w:pPr>
        <w:pStyle w:val="3"/>
        <w:spacing w:line="240" w:lineRule="auto"/>
        <w:ind w:firstLine="422" w:firstLineChars="200"/>
        <w:rPr>
          <w:sz w:val="21"/>
          <w:szCs w:val="21"/>
          <w:u w:val="single"/>
        </w:rPr>
      </w:pPr>
      <w:bookmarkStart w:id="21" w:name="_Toc41601901"/>
      <w:bookmarkStart w:id="22" w:name="_Toc41165320"/>
      <w:r>
        <w:rPr>
          <w:rFonts w:hint="eastAsia"/>
          <w:sz w:val="21"/>
          <w:szCs w:val="21"/>
          <w:u w:val="single"/>
        </w:rPr>
        <w:t>4.1创业板指数基金</w:t>
      </w:r>
      <w:r>
        <w:rPr>
          <w:sz w:val="21"/>
          <w:szCs w:val="21"/>
          <w:u w:val="single"/>
        </w:rPr>
        <w:t>个人投资者</w:t>
      </w:r>
      <w:r>
        <w:rPr>
          <w:rFonts w:hint="eastAsia"/>
          <w:sz w:val="21"/>
          <w:szCs w:val="21"/>
          <w:u w:val="single"/>
        </w:rPr>
        <w:t>画像</w:t>
      </w:r>
      <w:bookmarkEnd w:id="21"/>
      <w:bookmarkEnd w:id="22"/>
    </w:p>
    <w:p>
      <w:pPr>
        <w:spacing w:line="360" w:lineRule="auto"/>
        <w:rPr>
          <w:rFonts w:asciiTheme="minorEastAsia" w:hAnsiTheme="minorEastAsia" w:eastAsiaTheme="minorEastAsia" w:cstheme="minorBidi"/>
          <w:kern w:val="2"/>
        </w:rPr>
      </w:pPr>
      <w:r>
        <w:rPr>
          <w:rFonts w:hint="eastAsia"/>
          <w:lang w:val="en"/>
        </w:rPr>
        <w:t xml:space="preserve"> </w:t>
      </w:r>
      <w:r>
        <w:rPr>
          <w:rFonts w:hint="eastAsia"/>
        </w:rPr>
        <w:t xml:space="preserve">  </w:t>
      </w:r>
      <w:r>
        <w:rPr>
          <w:rFonts w:hint="eastAsia" w:asciiTheme="minorEastAsia" w:hAnsiTheme="minorEastAsia" w:eastAsiaTheme="minorEastAsia" w:cstheme="minorBidi"/>
          <w:kern w:val="2"/>
        </w:rPr>
        <w:t>天弘创业板指数基金投资者（下</w:t>
      </w:r>
      <w:r>
        <w:rPr>
          <w:rFonts w:asciiTheme="minorEastAsia" w:hAnsiTheme="minorEastAsia" w:eastAsiaTheme="minorEastAsia" w:cstheme="minorBidi"/>
          <w:kern w:val="2"/>
        </w:rPr>
        <w:t>称投资者</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包含</w:t>
      </w:r>
      <w:r>
        <w:rPr>
          <w:rFonts w:hint="eastAsia" w:asciiTheme="minorEastAsia" w:hAnsiTheme="minorEastAsia" w:eastAsiaTheme="minorEastAsia" w:cstheme="minorBidi"/>
          <w:kern w:val="2"/>
        </w:rPr>
        <w:t>ETF和</w:t>
      </w:r>
      <w:r>
        <w:rPr>
          <w:rFonts w:asciiTheme="minorEastAsia" w:hAnsiTheme="minorEastAsia" w:eastAsiaTheme="minorEastAsia" w:cstheme="minorBidi"/>
          <w:kern w:val="2"/>
        </w:rPr>
        <w:t>ETF联接基金用户）</w:t>
      </w:r>
      <w:r>
        <w:rPr>
          <w:rFonts w:hint="eastAsia" w:asciiTheme="minorEastAsia" w:hAnsiTheme="minorEastAsia" w:eastAsiaTheme="minorEastAsia" w:cstheme="minorBidi"/>
          <w:kern w:val="2"/>
        </w:rPr>
        <w:t>平均年龄为33岁，中位数为31岁，与天弘</w:t>
      </w:r>
      <w:r>
        <w:rPr>
          <w:rFonts w:asciiTheme="minorEastAsia" w:hAnsiTheme="minorEastAsia" w:eastAsiaTheme="minorEastAsia" w:cstheme="minorBidi"/>
          <w:kern w:val="2"/>
        </w:rPr>
        <w:t>指数基金</w:t>
      </w:r>
      <w:r>
        <w:rPr>
          <w:rFonts w:hint="eastAsia" w:asciiTheme="minorEastAsia" w:hAnsiTheme="minorEastAsia" w:eastAsiaTheme="minorEastAsia" w:cstheme="minorBidi"/>
          <w:kern w:val="2"/>
        </w:rPr>
        <w:t>整体投资者（下称整体</w:t>
      </w:r>
      <w:r>
        <w:rPr>
          <w:rFonts w:asciiTheme="minorEastAsia" w:hAnsiTheme="minorEastAsia" w:eastAsiaTheme="minorEastAsia" w:cstheme="minorBidi"/>
          <w:kern w:val="2"/>
        </w:rPr>
        <w:t>投资者）</w:t>
      </w:r>
      <w:r>
        <w:rPr>
          <w:rFonts w:hint="eastAsia" w:asciiTheme="minorEastAsia" w:hAnsiTheme="minorEastAsia" w:eastAsiaTheme="minorEastAsia" w:cstheme="minorBidi"/>
          <w:kern w:val="2"/>
        </w:rPr>
        <w:t>年龄(平均年龄35岁，中位数33岁</w:t>
      </w:r>
      <w:r>
        <w:rPr>
          <w:rFonts w:asciiTheme="minorEastAsia" w:hAnsiTheme="minorEastAsia" w:eastAsiaTheme="minorEastAsia" w:cstheme="minorBidi"/>
          <w:kern w:val="2"/>
        </w:rPr>
        <w:t>)</w:t>
      </w:r>
      <w:r>
        <w:rPr>
          <w:rFonts w:hint="eastAsia" w:asciiTheme="minorEastAsia" w:hAnsiTheme="minorEastAsia" w:eastAsiaTheme="minorEastAsia" w:cstheme="minorBidi"/>
          <w:kern w:val="2"/>
        </w:rPr>
        <w:t xml:space="preserve"> 相比，呈现更加年轻化的特征。其中，年龄在</w:t>
      </w:r>
      <w:r>
        <w:rPr>
          <w:rFonts w:asciiTheme="minorEastAsia" w:hAnsiTheme="minorEastAsia" w:eastAsiaTheme="minorEastAsia" w:cstheme="minorBidi"/>
          <w:kern w:val="2"/>
        </w:rPr>
        <w:t>20</w:t>
      </w:r>
      <w:r>
        <w:rPr>
          <w:rFonts w:hint="eastAsia" w:asciiTheme="minorEastAsia" w:hAnsiTheme="minorEastAsia" w:eastAsiaTheme="minorEastAsia" w:cstheme="minorBidi"/>
          <w:kern w:val="2"/>
        </w:rPr>
        <w:t>岁</w:t>
      </w:r>
      <w:r>
        <w:rPr>
          <w:rFonts w:asciiTheme="minorEastAsia" w:hAnsiTheme="minorEastAsia" w:eastAsiaTheme="minorEastAsia" w:cstheme="minorBidi"/>
          <w:kern w:val="2"/>
        </w:rPr>
        <w:t>-</w:t>
      </w:r>
      <w:r>
        <w:rPr>
          <w:rFonts w:hint="eastAsia" w:asciiTheme="minorEastAsia" w:hAnsiTheme="minorEastAsia" w:eastAsiaTheme="minorEastAsia" w:cstheme="minorBidi"/>
          <w:kern w:val="2"/>
        </w:rPr>
        <w:t>35岁的投资者占比为67</w:t>
      </w:r>
      <w:r>
        <w:rPr>
          <w:rFonts w:asciiTheme="minorEastAsia" w:hAnsiTheme="minorEastAsia" w:eastAsiaTheme="minorEastAsia" w:cstheme="minorBidi"/>
          <w:kern w:val="2"/>
        </w:rPr>
        <w:t>.6%</w:t>
      </w:r>
      <w:r>
        <w:rPr>
          <w:rFonts w:hint="eastAsia" w:asciiTheme="minorEastAsia" w:hAnsiTheme="minorEastAsia" w:eastAsiaTheme="minorEastAsia" w:cstheme="minorBidi"/>
          <w:kern w:val="2"/>
        </w:rPr>
        <w:t>。</w:t>
      </w:r>
    </w:p>
    <w:p>
      <w:pPr>
        <w:rPr>
          <w:rFonts w:asciiTheme="minorEastAsia" w:hAnsiTheme="minorEastAsia" w:eastAsiaTheme="minorEastAsia" w:cstheme="minorBidi"/>
          <w:kern w:val="2"/>
        </w:rPr>
      </w:pPr>
      <w:r>
        <w:rPr>
          <w:rFonts w:asciiTheme="minorEastAsia" w:hAnsiTheme="minorEastAsia" w:eastAsiaTheme="minorEastAsia" w:cstheme="minorBidi"/>
          <w:kern w:val="2"/>
        </w:rPr>
        <w:drawing>
          <wp:inline distT="0" distB="0" distL="0" distR="0">
            <wp:extent cx="5274310" cy="2738120"/>
            <wp:effectExtent l="0" t="0" r="2540" b="5080"/>
            <wp:docPr id="58" name="图片 58" descr="C:\Users\dingxm\Desktop\图表导出\17表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dingxm\Desktop\图表导出\17表4.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274310" cy="2738740"/>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cstheme="minorBidi"/>
          <w:kern w:val="2"/>
        </w:rPr>
      </w:pPr>
      <w:r>
        <w:rPr>
          <w:rFonts w:hint="eastAsia" w:asciiTheme="minorEastAsia" w:hAnsiTheme="minorEastAsia" w:eastAsiaTheme="minorEastAsia" w:cstheme="minorBidi"/>
          <w:kern w:val="2"/>
        </w:rPr>
        <w:t>从性别来看，男性投资者占比达到70%，占绝对优势，</w:t>
      </w:r>
      <w:r>
        <w:rPr>
          <w:rFonts w:asciiTheme="minorEastAsia" w:hAnsiTheme="minorEastAsia" w:eastAsiaTheme="minorEastAsia" w:cstheme="minorBidi"/>
          <w:kern w:val="2"/>
        </w:rPr>
        <w:t>比整体投资者</w:t>
      </w:r>
      <w:r>
        <w:rPr>
          <w:rFonts w:hint="eastAsia" w:asciiTheme="minorEastAsia" w:hAnsiTheme="minorEastAsia" w:eastAsiaTheme="minorEastAsia" w:cstheme="minorBidi"/>
          <w:kern w:val="2"/>
        </w:rPr>
        <w:t>的男性占比高5个百分点。从地域</w:t>
      </w:r>
      <w:r>
        <w:rPr>
          <w:rFonts w:asciiTheme="minorEastAsia" w:hAnsiTheme="minorEastAsia" w:eastAsiaTheme="minorEastAsia" w:cstheme="minorBidi"/>
          <w:kern w:val="2"/>
        </w:rPr>
        <w:t>分布来看，</w:t>
      </w:r>
      <w:r>
        <w:rPr>
          <w:rFonts w:hint="eastAsia" w:asciiTheme="minorEastAsia" w:hAnsiTheme="minorEastAsia" w:eastAsiaTheme="minorEastAsia" w:cstheme="minorBidi"/>
          <w:kern w:val="2"/>
        </w:rPr>
        <w:t>投资者</w:t>
      </w:r>
      <w:r>
        <w:rPr>
          <w:rFonts w:asciiTheme="minorEastAsia" w:hAnsiTheme="minorEastAsia" w:eastAsiaTheme="minorEastAsia" w:cstheme="minorBidi"/>
          <w:kern w:val="2"/>
        </w:rPr>
        <w:t>主要集中在</w:t>
      </w:r>
      <w:r>
        <w:rPr>
          <w:rFonts w:hint="eastAsia" w:asciiTheme="minorEastAsia" w:hAnsiTheme="minorEastAsia" w:eastAsiaTheme="minorEastAsia" w:cstheme="minorBidi"/>
          <w:kern w:val="2"/>
        </w:rPr>
        <w:t>广东省、</w:t>
      </w:r>
      <w:r>
        <w:rPr>
          <w:rFonts w:asciiTheme="minorEastAsia" w:hAnsiTheme="minorEastAsia" w:eastAsiaTheme="minorEastAsia" w:cstheme="minorBidi"/>
          <w:kern w:val="2"/>
        </w:rPr>
        <w:t>河南省和山东省</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如图</w:t>
      </w:r>
      <w:r>
        <w:rPr>
          <w:rFonts w:hint="eastAsia" w:asciiTheme="minorEastAsia" w:hAnsiTheme="minorEastAsia" w:eastAsiaTheme="minorEastAsia" w:cstheme="minorBidi"/>
          <w:kern w:val="2"/>
        </w:rPr>
        <w:t>4</w:t>
      </w:r>
      <w:r>
        <w:rPr>
          <w:rFonts w:asciiTheme="minorEastAsia" w:hAnsiTheme="minorEastAsia" w:eastAsiaTheme="minorEastAsia" w:cstheme="minorBidi"/>
          <w:kern w:val="2"/>
        </w:rPr>
        <w:t>.1</w:t>
      </w:r>
      <w:r>
        <w:rPr>
          <w:rFonts w:hint="eastAsia" w:asciiTheme="minorEastAsia" w:hAnsiTheme="minorEastAsia" w:eastAsiaTheme="minorEastAsia" w:cstheme="minorBidi"/>
          <w:kern w:val="2"/>
        </w:rPr>
        <w:t>所示。</w:t>
      </w:r>
      <w:r>
        <w:t>在投资者人数最多的前</w:t>
      </w:r>
      <w:r>
        <w:rPr>
          <w:rFonts w:hint="eastAsia"/>
        </w:rPr>
        <w:t>10名城市中</w:t>
      </w:r>
      <w:r>
        <w:rPr>
          <w:rFonts w:hint="eastAsia" w:asciiTheme="minorEastAsia" w:hAnsiTheme="minorEastAsia" w:eastAsiaTheme="minorEastAsia" w:cstheme="minorBidi"/>
          <w:kern w:val="2"/>
        </w:rPr>
        <w:t>，浙江省温州市的投资者人数最多，达到</w:t>
      </w:r>
      <w:r>
        <w:rPr>
          <w:rFonts w:asciiTheme="minorEastAsia" w:hAnsiTheme="minorEastAsia" w:eastAsiaTheme="minorEastAsia" w:cstheme="minorBidi"/>
          <w:kern w:val="2"/>
        </w:rPr>
        <w:t>1.76</w:t>
      </w:r>
      <w:r>
        <w:rPr>
          <w:rFonts w:hint="eastAsia" w:asciiTheme="minorEastAsia" w:hAnsiTheme="minorEastAsia" w:eastAsiaTheme="minorEastAsia" w:cstheme="minorBidi"/>
          <w:kern w:val="2"/>
        </w:rPr>
        <w:t>万人，广东的城市占了4个，</w:t>
      </w:r>
      <w:r>
        <w:rPr>
          <w:rFonts w:asciiTheme="minorEastAsia" w:hAnsiTheme="minorEastAsia" w:eastAsiaTheme="minorEastAsia" w:cstheme="minorBidi"/>
          <w:kern w:val="2"/>
        </w:rPr>
        <w:t>如图</w:t>
      </w:r>
      <w:r>
        <w:rPr>
          <w:rFonts w:hint="eastAsia" w:asciiTheme="minorEastAsia" w:hAnsiTheme="minorEastAsia" w:eastAsiaTheme="minorEastAsia" w:cstheme="minorBidi"/>
          <w:kern w:val="2"/>
        </w:rPr>
        <w:t>4</w:t>
      </w:r>
      <w:r>
        <w:rPr>
          <w:rFonts w:asciiTheme="minorEastAsia" w:hAnsiTheme="minorEastAsia" w:eastAsiaTheme="minorEastAsia" w:cstheme="minorBidi"/>
          <w:kern w:val="2"/>
        </w:rPr>
        <w:t>.2</w:t>
      </w:r>
      <w:r>
        <w:rPr>
          <w:rFonts w:hint="eastAsia" w:asciiTheme="minorEastAsia" w:hAnsiTheme="minorEastAsia" w:eastAsiaTheme="minorEastAsia" w:cstheme="minorBidi"/>
          <w:kern w:val="2"/>
        </w:rPr>
        <w:t>所示。</w:t>
      </w:r>
    </w:p>
    <w:p>
      <w:pPr>
        <w:spacing w:line="360" w:lineRule="auto"/>
        <w:rPr>
          <w:rFonts w:asciiTheme="minorEastAsia" w:hAnsiTheme="minorEastAsia" w:eastAsiaTheme="minorEastAsia" w:cstheme="minorBidi"/>
          <w:kern w:val="2"/>
        </w:rPr>
      </w:pPr>
      <w:r>
        <w:rPr>
          <w:rFonts w:asciiTheme="minorEastAsia" w:hAnsiTheme="minorEastAsia" w:eastAsiaTheme="minorEastAsia" w:cstheme="minorBidi"/>
          <w:kern w:val="2"/>
        </w:rPr>
        <w:drawing>
          <wp:inline distT="0" distB="0" distL="0" distR="0">
            <wp:extent cx="5274310" cy="2673985"/>
            <wp:effectExtent l="0" t="0" r="2540" b="0"/>
            <wp:docPr id="59" name="图片 59" descr="C:\Users\dingxm\Desktop\图表导出\18图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dingxm\Desktop\图表导出\18图4.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74310" cy="2674298"/>
                    </a:xfrm>
                    <a:prstGeom prst="rect">
                      <a:avLst/>
                    </a:prstGeom>
                    <a:noFill/>
                    <a:ln>
                      <a:noFill/>
                    </a:ln>
                  </pic:spPr>
                </pic:pic>
              </a:graphicData>
            </a:graphic>
          </wp:inline>
        </w:drawing>
      </w:r>
    </w:p>
    <w:p>
      <w:pPr>
        <w:spacing w:line="360" w:lineRule="auto"/>
        <w:rPr>
          <w:rFonts w:asciiTheme="minorEastAsia" w:hAnsiTheme="minorEastAsia" w:eastAsiaTheme="minorEastAsia" w:cstheme="minorBidi"/>
          <w:kern w:val="2"/>
        </w:rPr>
      </w:pPr>
      <w:r>
        <w:rPr>
          <w:rFonts w:asciiTheme="minorEastAsia" w:hAnsiTheme="minorEastAsia" w:eastAsiaTheme="minorEastAsia" w:cstheme="minorBidi"/>
          <w:kern w:val="2"/>
        </w:rPr>
        <w:drawing>
          <wp:inline distT="0" distB="0" distL="0" distR="0">
            <wp:extent cx="5274310" cy="3141345"/>
            <wp:effectExtent l="0" t="0" r="2540" b="1905"/>
            <wp:docPr id="60" name="图片 60" descr="C:\Users\dingxm\Desktop\图表导出\19图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dingxm\Desktop\图表导出\19图4.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74310" cy="3141619"/>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cstheme="minorBidi"/>
          <w:kern w:val="2"/>
        </w:rPr>
      </w:pPr>
      <w:r>
        <w:rPr>
          <w:rFonts w:asciiTheme="minorEastAsia" w:hAnsiTheme="minorEastAsia" w:eastAsiaTheme="minorEastAsia" w:cstheme="minorBidi"/>
          <w:kern w:val="2"/>
        </w:rPr>
        <w:t>投资者人均购买创业板指数基金的金额为</w:t>
      </w:r>
      <w:r>
        <w:rPr>
          <w:rFonts w:hint="eastAsia" w:asciiTheme="minorEastAsia" w:hAnsiTheme="minorEastAsia" w:eastAsiaTheme="minorEastAsia" w:cstheme="minorBidi"/>
          <w:kern w:val="2"/>
        </w:rPr>
        <w:t>2</w:t>
      </w:r>
      <w:r>
        <w:rPr>
          <w:rFonts w:asciiTheme="minorEastAsia" w:hAnsiTheme="minorEastAsia" w:eastAsiaTheme="minorEastAsia" w:cstheme="minorBidi"/>
          <w:kern w:val="2"/>
        </w:rPr>
        <w:t>.2万元</w:t>
      </w:r>
      <w:r>
        <w:rPr>
          <w:rFonts w:hint="eastAsia" w:asciiTheme="minorEastAsia" w:hAnsiTheme="minorEastAsia" w:eastAsiaTheme="minorEastAsia" w:cstheme="minorBidi"/>
          <w:kern w:val="2"/>
        </w:rPr>
        <w:t>，人均交易笔数为1</w:t>
      </w:r>
      <w:r>
        <w:rPr>
          <w:rFonts w:asciiTheme="minorEastAsia" w:hAnsiTheme="minorEastAsia" w:eastAsiaTheme="minorEastAsia" w:cstheme="minorBidi"/>
          <w:kern w:val="2"/>
        </w:rPr>
        <w:t>1.5笔</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人均赎回金额为</w:t>
      </w:r>
      <w:r>
        <w:rPr>
          <w:rFonts w:hint="eastAsia" w:asciiTheme="minorEastAsia" w:hAnsiTheme="minorEastAsia" w:eastAsiaTheme="minorEastAsia" w:cstheme="minorBidi"/>
          <w:kern w:val="2"/>
        </w:rPr>
        <w:t>5</w:t>
      </w:r>
      <w:r>
        <w:rPr>
          <w:rFonts w:asciiTheme="minorEastAsia" w:hAnsiTheme="minorEastAsia" w:eastAsiaTheme="minorEastAsia" w:cstheme="minorBidi"/>
          <w:kern w:val="2"/>
        </w:rPr>
        <w:t>700元</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人均赎回笔数为</w:t>
      </w:r>
      <w:r>
        <w:rPr>
          <w:rFonts w:hint="eastAsia" w:asciiTheme="minorEastAsia" w:hAnsiTheme="minorEastAsia" w:eastAsiaTheme="minorEastAsia" w:cstheme="minorBidi"/>
          <w:kern w:val="2"/>
        </w:rPr>
        <w:t>3</w:t>
      </w:r>
      <w:r>
        <w:rPr>
          <w:rFonts w:asciiTheme="minorEastAsia" w:hAnsiTheme="minorEastAsia" w:eastAsiaTheme="minorEastAsia" w:cstheme="minorBidi"/>
          <w:kern w:val="2"/>
        </w:rPr>
        <w:t>.3笔</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从申购</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赎回行为来看</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投资者交易</w:t>
      </w:r>
      <w:r>
        <w:rPr>
          <w:rFonts w:hint="eastAsia" w:asciiTheme="minorEastAsia" w:hAnsiTheme="minorEastAsia" w:eastAsiaTheme="minorEastAsia" w:cstheme="minorBidi"/>
          <w:kern w:val="2"/>
        </w:rPr>
        <w:t>较为</w:t>
      </w:r>
      <w:r>
        <w:rPr>
          <w:rFonts w:asciiTheme="minorEastAsia" w:hAnsiTheme="minorEastAsia" w:eastAsiaTheme="minorEastAsia" w:cstheme="minorBidi"/>
          <w:kern w:val="2"/>
        </w:rPr>
        <w:t>频繁</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投资者</w:t>
      </w:r>
      <w:r>
        <w:rPr>
          <w:rFonts w:hint="eastAsia" w:asciiTheme="minorEastAsia" w:hAnsiTheme="minorEastAsia" w:eastAsiaTheme="minorEastAsia" w:cstheme="minorBidi"/>
          <w:kern w:val="2"/>
        </w:rPr>
        <w:t>人均持有金额为</w:t>
      </w:r>
      <w:r>
        <w:rPr>
          <w:rFonts w:asciiTheme="minorEastAsia" w:hAnsiTheme="minorEastAsia" w:eastAsiaTheme="minorEastAsia" w:cstheme="minorBidi"/>
          <w:kern w:val="2"/>
        </w:rPr>
        <w:t>8800元</w:t>
      </w:r>
      <w:r>
        <w:rPr>
          <w:rFonts w:hint="eastAsia" w:asciiTheme="minorEastAsia" w:hAnsiTheme="minorEastAsia" w:eastAsiaTheme="minorEastAsia" w:cstheme="minorBidi"/>
          <w:kern w:val="2"/>
        </w:rPr>
        <w:t>。人均持有期为1</w:t>
      </w:r>
      <w:r>
        <w:rPr>
          <w:rFonts w:asciiTheme="minorEastAsia" w:hAnsiTheme="minorEastAsia" w:eastAsiaTheme="minorEastAsia" w:cstheme="minorBidi"/>
          <w:kern w:val="2"/>
        </w:rPr>
        <w:t>17天</w:t>
      </w:r>
      <w:r>
        <w:rPr>
          <w:rFonts w:hint="eastAsia" w:asciiTheme="minorEastAsia" w:hAnsiTheme="minorEastAsia" w:eastAsiaTheme="minorEastAsia" w:cstheme="minorBidi"/>
          <w:kern w:val="2"/>
        </w:rPr>
        <w:t>，但这其中</w:t>
      </w:r>
      <w:r>
        <w:rPr>
          <w:rFonts w:asciiTheme="minorEastAsia" w:hAnsiTheme="minorEastAsia" w:eastAsiaTheme="minorEastAsia" w:cstheme="minorBidi"/>
          <w:kern w:val="2"/>
        </w:rPr>
        <w:t>包括了一部分的</w:t>
      </w:r>
      <w:r>
        <w:rPr>
          <w:rFonts w:hint="eastAsia" w:asciiTheme="minorEastAsia" w:hAnsiTheme="minorEastAsia" w:eastAsiaTheme="minorEastAsia" w:cstheme="minorBidi"/>
          <w:kern w:val="2"/>
        </w:rPr>
        <w:t>长期</w:t>
      </w:r>
      <w:r>
        <w:rPr>
          <w:rFonts w:asciiTheme="minorEastAsia" w:hAnsiTheme="minorEastAsia" w:eastAsiaTheme="minorEastAsia" w:cstheme="minorBidi"/>
          <w:kern w:val="2"/>
        </w:rPr>
        <w:t>投资者</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他们的持有期拉高了整体的平均水平</w:t>
      </w:r>
      <w:r>
        <w:rPr>
          <w:rFonts w:hint="eastAsia" w:asciiTheme="minorEastAsia" w:hAnsiTheme="minorEastAsia" w:eastAsiaTheme="minorEastAsia" w:cstheme="minorBidi"/>
          <w:kern w:val="2"/>
        </w:rPr>
        <w:t>。投资者</w:t>
      </w:r>
      <w:r>
        <w:rPr>
          <w:rFonts w:asciiTheme="minorEastAsia" w:hAnsiTheme="minorEastAsia" w:eastAsiaTheme="minorEastAsia" w:cstheme="minorBidi"/>
          <w:kern w:val="2"/>
        </w:rPr>
        <w:t>持有期的中位数</w:t>
      </w:r>
      <w:r>
        <w:rPr>
          <w:rFonts w:hint="eastAsia" w:asciiTheme="minorEastAsia" w:hAnsiTheme="minorEastAsia" w:eastAsiaTheme="minorEastAsia" w:cstheme="minorBidi"/>
          <w:kern w:val="2"/>
        </w:rPr>
        <w:t>是4</w:t>
      </w:r>
      <w:r>
        <w:rPr>
          <w:rFonts w:asciiTheme="minorEastAsia" w:hAnsiTheme="minorEastAsia" w:eastAsiaTheme="minorEastAsia" w:cstheme="minorBidi"/>
          <w:kern w:val="2"/>
        </w:rPr>
        <w:t>8天</w:t>
      </w:r>
      <w:r>
        <w:rPr>
          <w:rFonts w:hint="eastAsia" w:asciiTheme="minorEastAsia" w:hAnsiTheme="minorEastAsia" w:eastAsiaTheme="minorEastAsia" w:cstheme="minorBidi"/>
          <w:kern w:val="2"/>
        </w:rPr>
        <w:t>，超</w:t>
      </w:r>
      <w:r>
        <w:rPr>
          <w:rFonts w:asciiTheme="minorEastAsia" w:hAnsiTheme="minorEastAsia" w:eastAsiaTheme="minorEastAsia" w:cstheme="minorBidi"/>
          <w:kern w:val="2"/>
        </w:rPr>
        <w:t>半数投资者的持有期不超过</w:t>
      </w:r>
      <w:r>
        <w:rPr>
          <w:rFonts w:hint="eastAsia" w:asciiTheme="minorEastAsia" w:hAnsiTheme="minorEastAsia" w:eastAsiaTheme="minorEastAsia" w:cstheme="minorBidi"/>
          <w:kern w:val="2"/>
        </w:rPr>
        <w:t>2个月。具体如下表</w:t>
      </w:r>
      <w:r>
        <w:rPr>
          <w:rFonts w:asciiTheme="minorEastAsia" w:hAnsiTheme="minorEastAsia" w:eastAsiaTheme="minorEastAsia" w:cstheme="minorBidi"/>
          <w:kern w:val="2"/>
        </w:rPr>
        <w:t>4.3</w:t>
      </w:r>
      <w:r>
        <w:rPr>
          <w:rFonts w:hint="eastAsia" w:asciiTheme="minorEastAsia" w:hAnsiTheme="minorEastAsia" w:eastAsiaTheme="minorEastAsia" w:cstheme="minorBidi"/>
          <w:kern w:val="2"/>
        </w:rPr>
        <w:t>所示。</w:t>
      </w:r>
    </w:p>
    <w:p>
      <w:pPr>
        <w:spacing w:line="360" w:lineRule="auto"/>
        <w:rPr>
          <w:rFonts w:asciiTheme="minorEastAsia" w:hAnsiTheme="minorEastAsia" w:eastAsiaTheme="minorEastAsia" w:cstheme="minorBidi"/>
          <w:kern w:val="2"/>
        </w:rPr>
      </w:pPr>
      <w:r>
        <w:rPr>
          <w:rFonts w:asciiTheme="minorEastAsia" w:hAnsiTheme="minorEastAsia" w:eastAsiaTheme="minorEastAsia" w:cstheme="minorBidi"/>
          <w:kern w:val="2"/>
        </w:rPr>
        <w:drawing>
          <wp:inline distT="0" distB="0" distL="0" distR="0">
            <wp:extent cx="5274310" cy="2412365"/>
            <wp:effectExtent l="0" t="0" r="2540" b="6985"/>
            <wp:docPr id="61" name="图片 61" descr="C:\Users\dingxm\Desktop\图表导出\20表4.3、表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dingxm\Desktop\图表导出\20表4.3、表4.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274310" cy="2412635"/>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cstheme="minorBidi"/>
          <w:kern w:val="2"/>
        </w:rPr>
      </w:pPr>
      <w:r>
        <w:rPr>
          <w:rFonts w:asciiTheme="minorEastAsia" w:hAnsiTheme="minorEastAsia" w:eastAsiaTheme="minorEastAsia" w:cstheme="minorBidi"/>
          <w:kern w:val="2"/>
        </w:rPr>
        <w:t>从投资者持有创业板指数基金的收益率分布来看</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超过</w:t>
      </w:r>
      <w:r>
        <w:rPr>
          <w:rFonts w:hint="eastAsia" w:asciiTheme="minorEastAsia" w:hAnsiTheme="minorEastAsia" w:eastAsiaTheme="minorEastAsia" w:cstheme="minorBidi"/>
          <w:kern w:val="2"/>
        </w:rPr>
        <w:t>8</w:t>
      </w:r>
      <w:r>
        <w:rPr>
          <w:rFonts w:asciiTheme="minorEastAsia" w:hAnsiTheme="minorEastAsia" w:eastAsiaTheme="minorEastAsia" w:cstheme="minorBidi"/>
          <w:kern w:val="2"/>
        </w:rPr>
        <w:t>3.2</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的投资者为正收益</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其中大部分投资者的持有收益率集中在0</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5</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区间</w:t>
      </w:r>
      <w:r>
        <w:rPr>
          <w:rFonts w:hint="eastAsia" w:asciiTheme="minorEastAsia" w:hAnsiTheme="minorEastAsia" w:eastAsiaTheme="minorEastAsia" w:cstheme="minorBidi"/>
          <w:kern w:val="2"/>
        </w:rPr>
        <w:t>，持有收益率超过2</w:t>
      </w:r>
      <w:r>
        <w:rPr>
          <w:rFonts w:asciiTheme="minorEastAsia" w:hAnsiTheme="minorEastAsia" w:eastAsiaTheme="minorEastAsia" w:cstheme="minorBidi"/>
          <w:kern w:val="2"/>
        </w:rPr>
        <w:t>0</w:t>
      </w:r>
      <w:r>
        <w:rPr>
          <w:rFonts w:hint="eastAsia" w:asciiTheme="minorEastAsia" w:hAnsiTheme="minorEastAsia" w:eastAsiaTheme="minorEastAsia" w:cstheme="minorBidi"/>
          <w:kern w:val="2"/>
        </w:rPr>
        <w:t>%的投资者占比为6</w:t>
      </w:r>
      <w:r>
        <w:rPr>
          <w:rFonts w:asciiTheme="minorEastAsia" w:hAnsiTheme="minorEastAsia" w:eastAsiaTheme="minorEastAsia" w:cstheme="minorBidi"/>
          <w:kern w:val="2"/>
        </w:rPr>
        <w:t>.2</w:t>
      </w:r>
      <w:r>
        <w:rPr>
          <w:rFonts w:hint="eastAsia" w:asciiTheme="minorEastAsia" w:hAnsiTheme="minorEastAsia" w:eastAsiaTheme="minorEastAsia" w:cstheme="minorBidi"/>
          <w:kern w:val="2"/>
        </w:rPr>
        <w:t>%。</w:t>
      </w:r>
    </w:p>
    <w:p>
      <w:pPr>
        <w:pStyle w:val="3"/>
        <w:spacing w:line="240" w:lineRule="auto"/>
        <w:ind w:firstLine="422" w:firstLineChars="200"/>
        <w:rPr>
          <w:sz w:val="21"/>
          <w:szCs w:val="21"/>
          <w:u w:val="single"/>
          <w:lang w:val="en"/>
        </w:rPr>
      </w:pPr>
      <w:bookmarkStart w:id="23" w:name="_Toc41165321"/>
      <w:bookmarkStart w:id="24" w:name="_Toc41601902"/>
      <w:r>
        <w:rPr>
          <w:rFonts w:hint="eastAsia"/>
          <w:sz w:val="21"/>
          <w:szCs w:val="21"/>
          <w:u w:val="single"/>
        </w:rPr>
        <w:t>4</w:t>
      </w:r>
      <w:r>
        <w:rPr>
          <w:sz w:val="21"/>
          <w:szCs w:val="21"/>
          <w:u w:val="single"/>
          <w:lang w:val="en"/>
        </w:rPr>
        <w:t>.2</w:t>
      </w:r>
      <w:r>
        <w:rPr>
          <w:rFonts w:hint="eastAsia"/>
          <w:sz w:val="21"/>
          <w:szCs w:val="21"/>
          <w:u w:val="single"/>
          <w:lang w:val="en"/>
        </w:rPr>
        <w:t>投资者</w:t>
      </w:r>
      <w:r>
        <w:rPr>
          <w:sz w:val="21"/>
          <w:szCs w:val="21"/>
          <w:u w:val="single"/>
          <w:lang w:val="en"/>
        </w:rPr>
        <w:t>长投短炒和定投行为分析</w:t>
      </w:r>
      <w:bookmarkEnd w:id="23"/>
      <w:bookmarkEnd w:id="24"/>
    </w:p>
    <w:p>
      <w:pPr>
        <w:spacing w:line="360" w:lineRule="auto"/>
        <w:ind w:firstLine="420"/>
        <w:jc w:val="left"/>
        <w:rPr>
          <w:rFonts w:asciiTheme="minorEastAsia" w:hAnsiTheme="minorEastAsia" w:eastAsiaTheme="minorEastAsia" w:cstheme="minorBidi"/>
          <w:kern w:val="2"/>
        </w:rPr>
      </w:pPr>
      <w:r>
        <w:rPr>
          <w:rFonts w:asciiTheme="minorEastAsia" w:hAnsiTheme="minorEastAsia" w:eastAsiaTheme="minorEastAsia" w:cstheme="minorBidi"/>
          <w:kern w:val="2"/>
        </w:rPr>
        <w:t>指数基金作为工具</w:t>
      </w:r>
      <w:r>
        <w:rPr>
          <w:rFonts w:hint="eastAsia" w:asciiTheme="minorEastAsia" w:hAnsiTheme="minorEastAsia" w:eastAsiaTheme="minorEastAsia" w:cstheme="minorBidi"/>
          <w:kern w:val="2"/>
        </w:rPr>
        <w:t>化</w:t>
      </w:r>
      <w:r>
        <w:rPr>
          <w:rFonts w:asciiTheme="minorEastAsia" w:hAnsiTheme="minorEastAsia" w:eastAsiaTheme="minorEastAsia" w:cstheme="minorBidi"/>
          <w:kern w:val="2"/>
        </w:rPr>
        <w:t>产品</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投资者购买指数基金行为可以归为</w:t>
      </w:r>
      <w:r>
        <w:rPr>
          <w:rFonts w:hint="eastAsia" w:asciiTheme="minorEastAsia" w:hAnsiTheme="minorEastAsia" w:eastAsiaTheme="minorEastAsia" w:cstheme="minorBidi"/>
          <w:kern w:val="2"/>
        </w:rPr>
        <w:t>三种类别，长投、短炒和定投。长投和短炒根据投资者的交易频率、持有时长来度量。我们将一笔交易从开仓到清仓的过程，称为有效持有时长。有效持有时长小于2</w:t>
      </w:r>
      <w:r>
        <w:rPr>
          <w:rFonts w:asciiTheme="minorEastAsia" w:hAnsiTheme="minorEastAsia" w:eastAsiaTheme="minorEastAsia" w:cstheme="minorBidi"/>
          <w:kern w:val="2"/>
        </w:rPr>
        <w:t>0天的</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为短</w:t>
      </w:r>
      <w:r>
        <w:rPr>
          <w:rFonts w:hint="eastAsia" w:asciiTheme="minorEastAsia" w:hAnsiTheme="minorEastAsia" w:eastAsiaTheme="minorEastAsia" w:cstheme="minorBidi"/>
          <w:kern w:val="2"/>
        </w:rPr>
        <w:t>炒</w:t>
      </w:r>
      <w:r>
        <w:rPr>
          <w:rFonts w:asciiTheme="minorEastAsia" w:hAnsiTheme="minorEastAsia" w:eastAsiaTheme="minorEastAsia" w:cstheme="minorBidi"/>
          <w:kern w:val="2"/>
        </w:rPr>
        <w:t>投资者</w:t>
      </w:r>
      <w:r>
        <w:rPr>
          <w:rFonts w:hint="eastAsia" w:asciiTheme="minorEastAsia" w:hAnsiTheme="minorEastAsia" w:eastAsiaTheme="minorEastAsia" w:cstheme="minorBidi"/>
          <w:kern w:val="2"/>
        </w:rPr>
        <w:t>；有效持有时长超过</w:t>
      </w:r>
      <w:r>
        <w:rPr>
          <w:rFonts w:asciiTheme="minorEastAsia" w:hAnsiTheme="minorEastAsia" w:eastAsiaTheme="minorEastAsia" w:cstheme="minorBidi"/>
          <w:kern w:val="2"/>
        </w:rPr>
        <w:t>120天的</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为长投投资者</w:t>
      </w:r>
      <w:r>
        <w:rPr>
          <w:rFonts w:hint="eastAsia" w:asciiTheme="minorEastAsia" w:hAnsiTheme="minorEastAsia" w:eastAsiaTheme="minorEastAsia" w:cstheme="minorBidi"/>
          <w:kern w:val="2"/>
        </w:rPr>
        <w:t>。定投，顾名思义就是指投资者定投创业板指数基金。</w:t>
      </w:r>
    </w:p>
    <w:p>
      <w:pPr>
        <w:spacing w:line="360" w:lineRule="auto"/>
        <w:ind w:firstLine="420"/>
        <w:rPr>
          <w:rFonts w:asciiTheme="minorEastAsia" w:hAnsiTheme="minorEastAsia" w:eastAsiaTheme="minorEastAsia" w:cstheme="minorBidi"/>
          <w:kern w:val="2"/>
        </w:rPr>
      </w:pPr>
      <w:r>
        <w:rPr>
          <w:rFonts w:asciiTheme="minorEastAsia" w:hAnsiTheme="minorEastAsia" w:eastAsiaTheme="minorEastAsia" w:cstheme="minorBidi"/>
          <w:kern w:val="2"/>
        </w:rPr>
        <w:t>从</w:t>
      </w:r>
      <w:r>
        <w:rPr>
          <w:rFonts w:hint="eastAsia" w:asciiTheme="minorEastAsia" w:hAnsiTheme="minorEastAsia" w:eastAsiaTheme="minorEastAsia" w:cstheme="minorBidi"/>
          <w:kern w:val="2"/>
        </w:rPr>
        <w:t>投资者</w:t>
      </w:r>
      <w:r>
        <w:rPr>
          <w:rFonts w:asciiTheme="minorEastAsia" w:hAnsiTheme="minorEastAsia" w:eastAsiaTheme="minorEastAsia" w:cstheme="minorBidi"/>
          <w:kern w:val="2"/>
        </w:rPr>
        <w:t>交易数据来看</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短</w:t>
      </w:r>
      <w:r>
        <w:rPr>
          <w:rFonts w:hint="eastAsia" w:asciiTheme="minorEastAsia" w:hAnsiTheme="minorEastAsia" w:eastAsiaTheme="minorEastAsia" w:cstheme="minorBidi"/>
          <w:kern w:val="2"/>
        </w:rPr>
        <w:t>炒</w:t>
      </w:r>
      <w:r>
        <w:rPr>
          <w:rFonts w:asciiTheme="minorEastAsia" w:hAnsiTheme="minorEastAsia" w:eastAsiaTheme="minorEastAsia" w:cstheme="minorBidi"/>
          <w:kern w:val="2"/>
        </w:rPr>
        <w:t>投资者人数占比</w:t>
      </w:r>
      <w:r>
        <w:rPr>
          <w:rFonts w:hint="eastAsia" w:asciiTheme="minorEastAsia" w:hAnsiTheme="minorEastAsia" w:eastAsiaTheme="minorEastAsia" w:cstheme="minorBidi"/>
          <w:kern w:val="2"/>
        </w:rPr>
        <w:t>2</w:t>
      </w:r>
      <w:r>
        <w:rPr>
          <w:rFonts w:asciiTheme="minorEastAsia" w:hAnsiTheme="minorEastAsia" w:eastAsiaTheme="minorEastAsia" w:cstheme="minorBidi"/>
          <w:kern w:val="2"/>
        </w:rPr>
        <w:t>7.5</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长投投资者人数占比</w:t>
      </w:r>
      <w:r>
        <w:rPr>
          <w:rFonts w:hint="eastAsia" w:asciiTheme="minorEastAsia" w:hAnsiTheme="minorEastAsia" w:eastAsiaTheme="minorEastAsia" w:cstheme="minorBidi"/>
          <w:kern w:val="2"/>
        </w:rPr>
        <w:t>2</w:t>
      </w:r>
      <w:r>
        <w:rPr>
          <w:rFonts w:asciiTheme="minorEastAsia" w:hAnsiTheme="minorEastAsia" w:eastAsiaTheme="minorEastAsia" w:cstheme="minorBidi"/>
          <w:kern w:val="2"/>
        </w:rPr>
        <w:t>3.5</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定投投资者占比</w:t>
      </w:r>
      <w:r>
        <w:rPr>
          <w:rFonts w:hint="eastAsia" w:asciiTheme="minorEastAsia" w:hAnsiTheme="minorEastAsia" w:eastAsiaTheme="minorEastAsia" w:cstheme="minorBidi"/>
          <w:kern w:val="2"/>
        </w:rPr>
        <w:t>2</w:t>
      </w:r>
      <w:r>
        <w:rPr>
          <w:rFonts w:asciiTheme="minorEastAsia" w:hAnsiTheme="minorEastAsia" w:eastAsiaTheme="minorEastAsia" w:cstheme="minorBidi"/>
          <w:kern w:val="2"/>
        </w:rPr>
        <w:t>9.5</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并且三类投资者的收益率水平有显著差别</w:t>
      </w:r>
      <w:r>
        <w:rPr>
          <w:rFonts w:hint="eastAsia" w:asciiTheme="minorEastAsia" w:hAnsiTheme="minorEastAsia" w:eastAsiaTheme="minorEastAsia" w:cstheme="minorBidi"/>
          <w:kern w:val="2"/>
        </w:rPr>
        <w:t>，表现在</w:t>
      </w:r>
      <w:r>
        <w:rPr>
          <w:rFonts w:asciiTheme="minorEastAsia" w:hAnsiTheme="minorEastAsia" w:eastAsiaTheme="minorEastAsia" w:cstheme="minorBidi"/>
          <w:kern w:val="2"/>
        </w:rPr>
        <w:t>长投投资者收益率</w:t>
      </w:r>
      <w:r>
        <w:rPr>
          <w:rFonts w:hint="eastAsia" w:asciiTheme="minorEastAsia" w:hAnsiTheme="minorEastAsia" w:eastAsiaTheme="minorEastAsia" w:cstheme="minorBidi"/>
          <w:kern w:val="2"/>
        </w:rPr>
        <w:t>&gt;</w:t>
      </w:r>
      <w:r>
        <w:rPr>
          <w:rFonts w:asciiTheme="minorEastAsia" w:hAnsiTheme="minorEastAsia" w:eastAsiaTheme="minorEastAsia" w:cstheme="minorBidi"/>
          <w:kern w:val="2"/>
        </w:rPr>
        <w:t>定投投资者收益率</w:t>
      </w:r>
      <w:r>
        <w:rPr>
          <w:rFonts w:hint="eastAsia" w:asciiTheme="minorEastAsia" w:hAnsiTheme="minorEastAsia" w:eastAsiaTheme="minorEastAsia" w:cstheme="minorBidi"/>
          <w:kern w:val="2"/>
        </w:rPr>
        <w:t>&gt;</w:t>
      </w:r>
      <w:r>
        <w:rPr>
          <w:rFonts w:asciiTheme="minorEastAsia" w:hAnsiTheme="minorEastAsia" w:eastAsiaTheme="minorEastAsia" w:cstheme="minorBidi"/>
          <w:kern w:val="2"/>
        </w:rPr>
        <w:t>短</w:t>
      </w:r>
      <w:r>
        <w:rPr>
          <w:rFonts w:hint="eastAsia" w:asciiTheme="minorEastAsia" w:hAnsiTheme="minorEastAsia" w:eastAsiaTheme="minorEastAsia" w:cstheme="minorBidi"/>
          <w:kern w:val="2"/>
        </w:rPr>
        <w:t>炒</w:t>
      </w:r>
      <w:r>
        <w:rPr>
          <w:rFonts w:asciiTheme="minorEastAsia" w:hAnsiTheme="minorEastAsia" w:eastAsiaTheme="minorEastAsia" w:cstheme="minorBidi"/>
          <w:kern w:val="2"/>
        </w:rPr>
        <w:t>投资者收益率</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详细各类投资者收益率水平如表4.5</w:t>
      </w:r>
      <w:r>
        <w:rPr>
          <w:rFonts w:hint="eastAsia" w:asciiTheme="minorEastAsia" w:hAnsiTheme="minorEastAsia" w:eastAsiaTheme="minorEastAsia" w:cstheme="minorBidi"/>
          <w:kern w:val="2"/>
        </w:rPr>
        <w:t>所示。</w:t>
      </w:r>
    </w:p>
    <w:p>
      <w:pPr>
        <w:spacing w:line="360" w:lineRule="auto"/>
        <w:rPr>
          <w:rFonts w:asciiTheme="minorEastAsia" w:hAnsiTheme="minorEastAsia" w:eastAsiaTheme="minorEastAsia" w:cstheme="minorBidi"/>
          <w:kern w:val="2"/>
        </w:rPr>
      </w:pPr>
      <w:r>
        <w:rPr>
          <w:rFonts w:asciiTheme="minorEastAsia" w:hAnsiTheme="minorEastAsia" w:eastAsiaTheme="minorEastAsia" w:cstheme="minorBidi"/>
          <w:kern w:val="2"/>
        </w:rPr>
        <w:drawing>
          <wp:inline distT="0" distB="0" distL="0" distR="0">
            <wp:extent cx="5274310" cy="1480820"/>
            <wp:effectExtent l="0" t="0" r="2540" b="5080"/>
            <wp:docPr id="62" name="图片 62" descr="C:\Users\dingxm\Desktop\图表导出\21表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dingxm\Desktop\图表导出\21表4.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274310" cy="1481365"/>
                    </a:xfrm>
                    <a:prstGeom prst="rect">
                      <a:avLst/>
                    </a:prstGeom>
                    <a:noFill/>
                    <a:ln>
                      <a:noFill/>
                    </a:ln>
                  </pic:spPr>
                </pic:pic>
              </a:graphicData>
            </a:graphic>
          </wp:inline>
        </w:drawing>
      </w:r>
      <w:r>
        <w:rPr>
          <w:rFonts w:asciiTheme="minorEastAsia" w:hAnsiTheme="minorEastAsia" w:eastAsiaTheme="minorEastAsia" w:cstheme="minorBidi"/>
          <w:kern w:val="2"/>
        </w:rPr>
        <w:t xml:space="preserve"> </w:t>
      </w:r>
    </w:p>
    <w:p>
      <w:pPr>
        <w:spacing w:line="360" w:lineRule="auto"/>
        <w:ind w:firstLine="420" w:firstLineChars="200"/>
        <w:rPr>
          <w:rFonts w:asciiTheme="minorEastAsia" w:hAnsiTheme="minorEastAsia" w:eastAsiaTheme="minorEastAsia" w:cstheme="minorBidi"/>
          <w:kern w:val="2"/>
        </w:rPr>
      </w:pPr>
      <w:r>
        <w:rPr>
          <w:rFonts w:hint="eastAsia" w:asciiTheme="minorEastAsia" w:hAnsiTheme="minorEastAsia" w:eastAsiaTheme="minorEastAsia" w:cstheme="minorBidi"/>
          <w:kern w:val="2"/>
        </w:rPr>
        <w:t>可以看出，</w:t>
      </w:r>
      <w:r>
        <w:rPr>
          <w:rFonts w:asciiTheme="minorEastAsia" w:hAnsiTheme="minorEastAsia" w:eastAsiaTheme="minorEastAsia" w:cstheme="minorBidi"/>
          <w:kern w:val="2"/>
        </w:rPr>
        <w:t>长投投资者的收益率</w:t>
      </w:r>
      <w:r>
        <w:rPr>
          <w:rFonts w:hint="eastAsia" w:asciiTheme="minorEastAsia" w:hAnsiTheme="minorEastAsia" w:eastAsiaTheme="minorEastAsia" w:cstheme="minorBidi"/>
          <w:kern w:val="2"/>
        </w:rPr>
        <w:t>包括</w:t>
      </w:r>
      <w:r>
        <w:rPr>
          <w:rFonts w:asciiTheme="minorEastAsia" w:hAnsiTheme="minorEastAsia" w:eastAsiaTheme="minorEastAsia" w:cstheme="minorBidi"/>
          <w:kern w:val="2"/>
        </w:rPr>
        <w:t>累计收益率</w:t>
      </w:r>
      <w:r>
        <w:rPr>
          <w:rFonts w:hint="eastAsia" w:asciiTheme="minorEastAsia" w:hAnsiTheme="minorEastAsia" w:eastAsiaTheme="minorEastAsia" w:cstheme="minorBidi"/>
          <w:kern w:val="2"/>
        </w:rPr>
        <w:t>和</w:t>
      </w:r>
      <w:r>
        <w:rPr>
          <w:rFonts w:asciiTheme="minorEastAsia" w:hAnsiTheme="minorEastAsia" w:eastAsiaTheme="minorEastAsia" w:cstheme="minorBidi"/>
          <w:kern w:val="2"/>
        </w:rPr>
        <w:t>持仓收益率均远高于短</w:t>
      </w:r>
      <w:r>
        <w:rPr>
          <w:rFonts w:hint="eastAsia" w:asciiTheme="minorEastAsia" w:hAnsiTheme="minorEastAsia" w:eastAsiaTheme="minorEastAsia" w:cstheme="minorBidi"/>
          <w:kern w:val="2"/>
        </w:rPr>
        <w:t>炒</w:t>
      </w:r>
      <w:r>
        <w:rPr>
          <w:rFonts w:asciiTheme="minorEastAsia" w:hAnsiTheme="minorEastAsia" w:eastAsiaTheme="minorEastAsia" w:cstheme="minorBidi"/>
          <w:kern w:val="2"/>
        </w:rPr>
        <w:t>投资者</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定投投资者居中</w:t>
      </w:r>
      <w:r>
        <w:rPr>
          <w:rFonts w:hint="eastAsia" w:asciiTheme="minorEastAsia" w:hAnsiTheme="minorEastAsia" w:eastAsiaTheme="minorEastAsia" w:cstheme="minorBidi"/>
          <w:kern w:val="2"/>
        </w:rPr>
        <w:t>。因此，提倡投资者长期投资，不仅仅是一个口号，从投资者实际的收益率角度来看，收益率高的投资者，也有持有期</w:t>
      </w:r>
      <w:r>
        <w:rPr>
          <w:rFonts w:asciiTheme="minorEastAsia" w:hAnsiTheme="minorEastAsia" w:eastAsiaTheme="minorEastAsia" w:cstheme="minorBidi"/>
          <w:kern w:val="2"/>
        </w:rPr>
        <w:t>较长</w:t>
      </w:r>
      <w:r>
        <w:rPr>
          <w:rFonts w:hint="eastAsia" w:asciiTheme="minorEastAsia" w:hAnsiTheme="minorEastAsia" w:eastAsiaTheme="minorEastAsia" w:cstheme="minorBidi"/>
          <w:kern w:val="2"/>
        </w:rPr>
        <w:t>的特征。</w:t>
      </w:r>
    </w:p>
    <w:p>
      <w:pPr>
        <w:spacing w:line="360" w:lineRule="auto"/>
        <w:rPr>
          <w:rFonts w:asciiTheme="minorEastAsia" w:hAnsiTheme="minorEastAsia" w:eastAsiaTheme="minorEastAsia" w:cstheme="minorBidi"/>
          <w:kern w:val="2"/>
        </w:rPr>
      </w:pPr>
      <w:r>
        <w:rPr>
          <w:rFonts w:asciiTheme="minorEastAsia" w:hAnsiTheme="minorEastAsia" w:eastAsiaTheme="minorEastAsia" w:cstheme="minorBidi"/>
          <w:kern w:val="2"/>
        </w:rPr>
        <w:drawing>
          <wp:inline distT="0" distB="0" distL="0" distR="0">
            <wp:extent cx="5274310" cy="1409700"/>
            <wp:effectExtent l="0" t="0" r="2540" b="0"/>
            <wp:docPr id="63" name="图片 63" descr="C:\Users\dingxm\Desktop\图表导出\22表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dingxm\Desktop\图表导出\22表4.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74310" cy="1410287"/>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cstheme="minorBidi"/>
          <w:kern w:val="2"/>
        </w:rPr>
      </w:pPr>
      <w:r>
        <w:rPr>
          <w:rFonts w:asciiTheme="minorEastAsia" w:hAnsiTheme="minorEastAsia" w:eastAsiaTheme="minorEastAsia" w:cstheme="minorBidi"/>
          <w:kern w:val="2"/>
        </w:rPr>
        <w:t>此外</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长投</w:t>
      </w:r>
      <w:r>
        <w:rPr>
          <w:rFonts w:hint="eastAsia" w:asciiTheme="minorEastAsia" w:hAnsiTheme="minorEastAsia" w:eastAsiaTheme="minorEastAsia" w:cstheme="minorBidi"/>
          <w:kern w:val="2"/>
        </w:rPr>
        <w:t>和</w:t>
      </w:r>
      <w:r>
        <w:rPr>
          <w:rFonts w:asciiTheme="minorEastAsia" w:hAnsiTheme="minorEastAsia" w:eastAsiaTheme="minorEastAsia" w:cstheme="minorBidi"/>
          <w:kern w:val="2"/>
        </w:rPr>
        <w:t>定投投资者的单笔投入一般不大</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均值在</w:t>
      </w:r>
      <w:r>
        <w:rPr>
          <w:rFonts w:hint="eastAsia" w:asciiTheme="minorEastAsia" w:hAnsiTheme="minorEastAsia" w:eastAsiaTheme="minorEastAsia" w:cstheme="minorBidi"/>
          <w:kern w:val="2"/>
        </w:rPr>
        <w:t>8</w:t>
      </w:r>
      <w:r>
        <w:rPr>
          <w:rFonts w:asciiTheme="minorEastAsia" w:hAnsiTheme="minorEastAsia" w:eastAsiaTheme="minorEastAsia" w:cstheme="minorBidi"/>
          <w:kern w:val="2"/>
        </w:rPr>
        <w:t>00</w:t>
      </w:r>
      <w:r>
        <w:rPr>
          <w:rFonts w:hint="eastAsia" w:asciiTheme="minorEastAsia" w:hAnsiTheme="minorEastAsia" w:eastAsiaTheme="minorEastAsia" w:cstheme="minorBidi"/>
          <w:kern w:val="2"/>
        </w:rPr>
        <w:t>-1000</w:t>
      </w:r>
      <w:r>
        <w:rPr>
          <w:rFonts w:asciiTheme="minorEastAsia" w:hAnsiTheme="minorEastAsia" w:eastAsiaTheme="minorEastAsia" w:cstheme="minorBidi"/>
          <w:kern w:val="2"/>
        </w:rPr>
        <w:t>元区间</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但</w:t>
      </w:r>
      <w:r>
        <w:rPr>
          <w:rFonts w:hint="eastAsia" w:asciiTheme="minorEastAsia" w:hAnsiTheme="minorEastAsia" w:eastAsiaTheme="minorEastAsia" w:cstheme="minorBidi"/>
          <w:kern w:val="2"/>
        </w:rPr>
        <w:t>人均申购</w:t>
      </w:r>
      <w:r>
        <w:rPr>
          <w:rFonts w:asciiTheme="minorEastAsia" w:hAnsiTheme="minorEastAsia" w:eastAsiaTheme="minorEastAsia" w:cstheme="minorBidi"/>
          <w:kern w:val="2"/>
        </w:rPr>
        <w:t>笔数较多</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短</w:t>
      </w:r>
      <w:r>
        <w:rPr>
          <w:rFonts w:hint="eastAsia" w:asciiTheme="minorEastAsia" w:hAnsiTheme="minorEastAsia" w:eastAsiaTheme="minorEastAsia" w:cstheme="minorBidi"/>
          <w:kern w:val="2"/>
        </w:rPr>
        <w:t>炒</w:t>
      </w:r>
      <w:r>
        <w:rPr>
          <w:rFonts w:asciiTheme="minorEastAsia" w:hAnsiTheme="minorEastAsia" w:eastAsiaTheme="minorEastAsia" w:cstheme="minorBidi"/>
          <w:kern w:val="2"/>
        </w:rPr>
        <w:t>投资者单笔投入较高</w:t>
      </w:r>
      <w:r>
        <w:rPr>
          <w:rFonts w:hint="eastAsia" w:asciiTheme="minorEastAsia" w:hAnsiTheme="minorEastAsia" w:eastAsiaTheme="minorEastAsia" w:cstheme="minorBidi"/>
          <w:kern w:val="2"/>
        </w:rPr>
        <w:t>，超过4</w:t>
      </w:r>
      <w:r>
        <w:rPr>
          <w:rFonts w:asciiTheme="minorEastAsia" w:hAnsiTheme="minorEastAsia" w:eastAsiaTheme="minorEastAsia" w:cstheme="minorBidi"/>
          <w:kern w:val="2"/>
        </w:rPr>
        <w:t>000元</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但</w:t>
      </w:r>
      <w:r>
        <w:rPr>
          <w:rFonts w:hint="eastAsia" w:asciiTheme="minorEastAsia" w:hAnsiTheme="minorEastAsia" w:eastAsiaTheme="minorEastAsia" w:cstheme="minorBidi"/>
          <w:kern w:val="2"/>
        </w:rPr>
        <w:t>人均申购</w:t>
      </w:r>
      <w:r>
        <w:rPr>
          <w:rFonts w:asciiTheme="minorEastAsia" w:hAnsiTheme="minorEastAsia" w:eastAsiaTheme="minorEastAsia" w:cstheme="minorBidi"/>
          <w:kern w:val="2"/>
        </w:rPr>
        <w:t>笔数</w:t>
      </w:r>
      <w:r>
        <w:rPr>
          <w:rFonts w:hint="eastAsia" w:asciiTheme="minorEastAsia" w:hAnsiTheme="minorEastAsia" w:eastAsiaTheme="minorEastAsia" w:cstheme="minorBidi"/>
          <w:kern w:val="2"/>
        </w:rPr>
        <w:t>较</w:t>
      </w:r>
      <w:r>
        <w:rPr>
          <w:rFonts w:asciiTheme="minorEastAsia" w:hAnsiTheme="minorEastAsia" w:eastAsiaTheme="minorEastAsia" w:cstheme="minorBidi"/>
          <w:kern w:val="2"/>
        </w:rPr>
        <w:t>少</w:t>
      </w:r>
      <w:r>
        <w:rPr>
          <w:rFonts w:hint="eastAsia" w:asciiTheme="minorEastAsia" w:hAnsiTheme="minorEastAsia" w:eastAsiaTheme="minorEastAsia" w:cstheme="minorBidi"/>
          <w:kern w:val="2"/>
        </w:rPr>
        <w:t>。如表</w:t>
      </w:r>
      <w:r>
        <w:rPr>
          <w:rFonts w:asciiTheme="minorEastAsia" w:hAnsiTheme="minorEastAsia" w:eastAsiaTheme="minorEastAsia" w:cstheme="minorBidi"/>
          <w:kern w:val="2"/>
        </w:rPr>
        <w:t>4.6</w:t>
      </w:r>
      <w:r>
        <w:rPr>
          <w:rFonts w:hint="eastAsia" w:asciiTheme="minorEastAsia" w:hAnsiTheme="minorEastAsia" w:eastAsiaTheme="minorEastAsia" w:cstheme="minorBidi"/>
          <w:kern w:val="2"/>
        </w:rPr>
        <w:t>所示。</w:t>
      </w:r>
    </w:p>
    <w:p>
      <w:pPr>
        <w:spacing w:line="360" w:lineRule="auto"/>
        <w:ind w:firstLine="420"/>
        <w:rPr>
          <w:rFonts w:asciiTheme="minorEastAsia" w:hAnsiTheme="minorEastAsia" w:eastAsiaTheme="minorEastAsia" w:cstheme="minorBidi"/>
          <w:kern w:val="2"/>
        </w:rPr>
      </w:pPr>
      <w:r>
        <w:rPr>
          <w:rFonts w:asciiTheme="minorEastAsia" w:hAnsiTheme="minorEastAsia" w:eastAsiaTheme="minorEastAsia" w:cstheme="minorBidi"/>
          <w:kern w:val="2"/>
        </w:rPr>
        <w:t>定投</w:t>
      </w:r>
      <w:r>
        <w:rPr>
          <w:rFonts w:hint="eastAsia" w:asciiTheme="minorEastAsia" w:hAnsiTheme="minorEastAsia" w:eastAsiaTheme="minorEastAsia" w:cstheme="minorBidi"/>
          <w:kern w:val="2"/>
        </w:rPr>
        <w:t>是</w:t>
      </w:r>
      <w:r>
        <w:rPr>
          <w:rFonts w:asciiTheme="minorEastAsia" w:hAnsiTheme="minorEastAsia" w:eastAsiaTheme="minorEastAsia" w:cstheme="minorBidi"/>
          <w:kern w:val="2"/>
        </w:rPr>
        <w:t>一种平滑成本的指数</w:t>
      </w:r>
      <w:r>
        <w:rPr>
          <w:rFonts w:hint="eastAsia" w:asciiTheme="minorEastAsia" w:hAnsiTheme="minorEastAsia" w:eastAsiaTheme="minorEastAsia" w:cstheme="minorBidi"/>
          <w:kern w:val="2"/>
        </w:rPr>
        <w:t>基金</w:t>
      </w:r>
      <w:r>
        <w:rPr>
          <w:rFonts w:asciiTheme="minorEastAsia" w:hAnsiTheme="minorEastAsia" w:eastAsiaTheme="minorEastAsia" w:cstheme="minorBidi"/>
          <w:kern w:val="2"/>
        </w:rPr>
        <w:t>投资</w:t>
      </w:r>
      <w:r>
        <w:rPr>
          <w:rFonts w:hint="eastAsia" w:asciiTheme="minorEastAsia" w:hAnsiTheme="minorEastAsia" w:eastAsiaTheme="minorEastAsia" w:cstheme="minorBidi"/>
          <w:kern w:val="2"/>
        </w:rPr>
        <w:t>方式，在定投投资者中，周定投投资者占比75%，月定投15%，还有10%的投资者选择日定投。</w:t>
      </w:r>
    </w:p>
    <w:p>
      <w:pPr>
        <w:pStyle w:val="3"/>
        <w:spacing w:line="240" w:lineRule="auto"/>
        <w:ind w:firstLine="422" w:firstLineChars="200"/>
        <w:rPr>
          <w:sz w:val="21"/>
          <w:szCs w:val="21"/>
          <w:u w:val="single"/>
          <w:lang w:val="en"/>
        </w:rPr>
      </w:pPr>
      <w:bookmarkStart w:id="25" w:name="_Toc41165322"/>
      <w:bookmarkStart w:id="26" w:name="_Toc41601903"/>
      <w:r>
        <w:rPr>
          <w:rFonts w:hint="eastAsia"/>
          <w:sz w:val="21"/>
          <w:szCs w:val="21"/>
          <w:u w:val="single"/>
        </w:rPr>
        <w:t>4</w:t>
      </w:r>
      <w:r>
        <w:rPr>
          <w:sz w:val="21"/>
          <w:szCs w:val="21"/>
          <w:u w:val="single"/>
          <w:lang w:val="en"/>
        </w:rPr>
        <w:t>.3</w:t>
      </w:r>
      <w:r>
        <w:rPr>
          <w:rFonts w:hint="eastAsia"/>
          <w:sz w:val="21"/>
          <w:szCs w:val="21"/>
          <w:u w:val="single"/>
          <w:lang w:val="en"/>
        </w:rPr>
        <w:t>投资者申购</w:t>
      </w:r>
      <w:r>
        <w:rPr>
          <w:sz w:val="21"/>
          <w:szCs w:val="21"/>
          <w:u w:val="single"/>
          <w:lang w:val="en"/>
        </w:rPr>
        <w:t>、</w:t>
      </w:r>
      <w:r>
        <w:rPr>
          <w:rFonts w:hint="eastAsia"/>
          <w:sz w:val="21"/>
          <w:szCs w:val="21"/>
          <w:u w:val="single"/>
          <w:lang w:val="en"/>
        </w:rPr>
        <w:t>复购和</w:t>
      </w:r>
      <w:r>
        <w:rPr>
          <w:sz w:val="21"/>
          <w:szCs w:val="21"/>
          <w:u w:val="single"/>
          <w:lang w:val="en"/>
        </w:rPr>
        <w:t>赎回</w:t>
      </w:r>
      <w:r>
        <w:rPr>
          <w:rFonts w:hint="eastAsia"/>
          <w:sz w:val="21"/>
          <w:szCs w:val="21"/>
          <w:u w:val="single"/>
          <w:lang w:val="en"/>
        </w:rPr>
        <w:t>行为</w:t>
      </w:r>
      <w:r>
        <w:rPr>
          <w:sz w:val="21"/>
          <w:szCs w:val="21"/>
          <w:u w:val="single"/>
          <w:lang w:val="en"/>
        </w:rPr>
        <w:t>分析</w:t>
      </w:r>
      <w:bookmarkEnd w:id="25"/>
      <w:bookmarkEnd w:id="26"/>
    </w:p>
    <w:p>
      <w:pPr>
        <w:spacing w:line="360" w:lineRule="auto"/>
        <w:ind w:firstLine="420" w:firstLineChars="200"/>
        <w:rPr>
          <w:rFonts w:asciiTheme="minorEastAsia" w:hAnsiTheme="minorEastAsia" w:eastAsiaTheme="minorEastAsia" w:cstheme="minorBidi"/>
          <w:kern w:val="2"/>
        </w:rPr>
      </w:pPr>
      <w:r>
        <w:rPr>
          <w:rFonts w:hint="eastAsia" w:asciiTheme="minorEastAsia" w:hAnsiTheme="minorEastAsia" w:eastAsiaTheme="minorEastAsia" w:cstheme="minorBidi"/>
          <w:kern w:val="2"/>
        </w:rPr>
        <w:t>投资者的申购与什么因素有关？其中一个关键因素是市场因素。从投资者交易数据来看，一个显著的特征就是，市场下跌时，投资者买入，即大家通常说的抄底行为，较为明显。“越跌越买”是投资者的基本交易</w:t>
      </w:r>
      <w:r>
        <w:rPr>
          <w:rFonts w:asciiTheme="minorEastAsia" w:hAnsiTheme="minorEastAsia" w:eastAsiaTheme="minorEastAsia" w:cstheme="minorBidi"/>
          <w:kern w:val="2"/>
        </w:rPr>
        <w:t>行为</w:t>
      </w:r>
      <w:r>
        <w:rPr>
          <w:rFonts w:hint="eastAsia" w:asciiTheme="minorEastAsia" w:hAnsiTheme="minorEastAsia" w:eastAsiaTheme="minorEastAsia" w:cstheme="minorBidi"/>
          <w:kern w:val="2"/>
        </w:rPr>
        <w:t>特征。但同时，市场上涨的时候，投资者的申购相应增加，即大家</w:t>
      </w:r>
      <w:r>
        <w:rPr>
          <w:rFonts w:asciiTheme="minorEastAsia" w:hAnsiTheme="minorEastAsia" w:eastAsiaTheme="minorEastAsia" w:cstheme="minorBidi"/>
          <w:kern w:val="2"/>
        </w:rPr>
        <w:t>通常</w:t>
      </w:r>
      <w:r>
        <w:rPr>
          <w:rFonts w:hint="eastAsia" w:asciiTheme="minorEastAsia" w:hAnsiTheme="minorEastAsia" w:eastAsiaTheme="minorEastAsia" w:cstheme="minorBidi"/>
          <w:kern w:val="2"/>
        </w:rPr>
        <w:t>说的追涨。追涨和抄底相比，投资者更愿意抄底。</w:t>
      </w:r>
    </w:p>
    <w:p>
      <w:pPr>
        <w:spacing w:line="360" w:lineRule="auto"/>
        <w:rPr>
          <w:rFonts w:asciiTheme="minorEastAsia" w:hAnsiTheme="minorEastAsia" w:eastAsiaTheme="minorEastAsia" w:cstheme="minorBidi"/>
          <w:kern w:val="2"/>
        </w:rPr>
      </w:pPr>
      <w:r>
        <w:rPr>
          <w:rFonts w:asciiTheme="minorEastAsia" w:hAnsiTheme="minorEastAsia" w:eastAsiaTheme="minorEastAsia" w:cstheme="minorBidi"/>
          <w:kern w:val="2"/>
        </w:rPr>
        <w:drawing>
          <wp:inline distT="0" distB="0" distL="0" distR="0">
            <wp:extent cx="5274310" cy="2653030"/>
            <wp:effectExtent l="0" t="0" r="2540" b="0"/>
            <wp:docPr id="67" name="图片 67" descr="C:\Users\dingxm\Desktop\图表导出\27图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C:\Users\dingxm\Desktop\图表导出\27图4.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274310" cy="2653434"/>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cstheme="minorBidi"/>
          <w:kern w:val="2"/>
        </w:rPr>
      </w:pPr>
      <w:r>
        <w:rPr>
          <w:rFonts w:hint="eastAsia" w:asciiTheme="minorEastAsia" w:hAnsiTheme="minorEastAsia" w:eastAsiaTheme="minorEastAsia" w:cstheme="minorBidi"/>
          <w:kern w:val="2"/>
        </w:rPr>
        <w:t>从投资者复购行为来看，49.7%的复购发生在7天之内，28.5%的复购发生在8 -30天之间，11.9%的</w:t>
      </w:r>
      <w:r>
        <w:rPr>
          <w:rFonts w:asciiTheme="minorEastAsia" w:hAnsiTheme="minorEastAsia" w:eastAsiaTheme="minorEastAsia" w:cstheme="minorBidi"/>
          <w:kern w:val="2"/>
        </w:rPr>
        <w:t>复购</w:t>
      </w:r>
      <w:r>
        <w:rPr>
          <w:rFonts w:hint="eastAsia" w:asciiTheme="minorEastAsia" w:hAnsiTheme="minorEastAsia" w:eastAsiaTheme="minorEastAsia" w:cstheme="minorBidi"/>
          <w:kern w:val="2"/>
        </w:rPr>
        <w:t>发生在31-90天之间，只有9.9%的复购发生在90天以外，说明投资者复购的关键期就在7天内和30天内。关键期内，对投资者进行投资者教育与引导的效果可能更好。</w:t>
      </w:r>
    </w:p>
    <w:p>
      <w:pPr>
        <w:spacing w:line="360" w:lineRule="auto"/>
        <w:rPr>
          <w:rFonts w:asciiTheme="minorEastAsia" w:hAnsiTheme="minorEastAsia" w:eastAsiaTheme="minorEastAsia" w:cstheme="minorBidi"/>
          <w:kern w:val="2"/>
        </w:rPr>
      </w:pPr>
      <w:r>
        <w:rPr>
          <w:rFonts w:asciiTheme="minorEastAsia" w:hAnsiTheme="minorEastAsia" w:eastAsiaTheme="minorEastAsia" w:cstheme="minorBidi"/>
          <w:kern w:val="2"/>
        </w:rPr>
        <w:drawing>
          <wp:inline distT="0" distB="0" distL="0" distR="0">
            <wp:extent cx="5274310" cy="2670810"/>
            <wp:effectExtent l="0" t="0" r="2540" b="0"/>
            <wp:docPr id="68" name="图片 68" descr="C:\Users\dingxm\Desktop\图表导出\28图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dingxm\Desktop\图表导出\28图4.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274310" cy="2671305"/>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cstheme="minorBidi"/>
          <w:kern w:val="2"/>
        </w:rPr>
      </w:pPr>
      <w:r>
        <w:rPr>
          <w:rFonts w:asciiTheme="minorEastAsia" w:hAnsiTheme="minorEastAsia" w:eastAsiaTheme="minorEastAsia" w:cstheme="minorBidi"/>
          <w:kern w:val="2"/>
        </w:rPr>
        <w:t>我们看完了市场涨跌对申购的影响</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那么市场涨跌</w:t>
      </w:r>
      <w:r>
        <w:rPr>
          <w:rFonts w:hint="eastAsia" w:asciiTheme="minorEastAsia" w:hAnsiTheme="minorEastAsia" w:eastAsiaTheme="minorEastAsia" w:cstheme="minorBidi"/>
          <w:kern w:val="2"/>
        </w:rPr>
        <w:t>如何</w:t>
      </w:r>
      <w:r>
        <w:rPr>
          <w:rFonts w:asciiTheme="minorEastAsia" w:hAnsiTheme="minorEastAsia" w:eastAsiaTheme="minorEastAsia" w:cstheme="minorBidi"/>
          <w:kern w:val="2"/>
        </w:rPr>
        <w:t>影响投资者的赎回呢</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 xml:space="preserve"> </w:t>
      </w:r>
    </w:p>
    <w:p>
      <w:pPr>
        <w:spacing w:line="360" w:lineRule="auto"/>
        <w:rPr>
          <w:rFonts w:asciiTheme="minorEastAsia" w:hAnsiTheme="minorEastAsia" w:eastAsiaTheme="minorEastAsia" w:cstheme="minorBidi"/>
          <w:kern w:val="2"/>
        </w:rPr>
      </w:pPr>
      <w:r>
        <w:rPr>
          <w:rFonts w:asciiTheme="minorEastAsia" w:hAnsiTheme="minorEastAsia" w:eastAsiaTheme="minorEastAsia" w:cstheme="minorBidi"/>
          <w:kern w:val="2"/>
        </w:rPr>
        <w:drawing>
          <wp:inline distT="0" distB="0" distL="0" distR="0">
            <wp:extent cx="5274310" cy="2750820"/>
            <wp:effectExtent l="0" t="0" r="2540" b="0"/>
            <wp:docPr id="70" name="图片 70" descr="C:\Users\dingxm\Desktop\图表导出\29图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dingxm\Desktop\图表导出\29图4.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274310" cy="2750825"/>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cstheme="minorBidi"/>
          <w:kern w:val="2"/>
        </w:rPr>
      </w:pPr>
      <w:r>
        <w:rPr>
          <w:rFonts w:hint="eastAsia" w:asciiTheme="minorEastAsia" w:hAnsiTheme="minorEastAsia" w:eastAsiaTheme="minorEastAsia" w:cstheme="minorBidi"/>
          <w:kern w:val="2"/>
        </w:rPr>
        <w:t>如图</w:t>
      </w:r>
      <w:r>
        <w:rPr>
          <w:rFonts w:asciiTheme="minorEastAsia" w:hAnsiTheme="minorEastAsia" w:eastAsiaTheme="minorEastAsia" w:cstheme="minorBidi"/>
          <w:kern w:val="2"/>
        </w:rPr>
        <w:t>4.5</w:t>
      </w:r>
      <w:r>
        <w:rPr>
          <w:rFonts w:hint="eastAsia" w:asciiTheme="minorEastAsia" w:hAnsiTheme="minorEastAsia" w:eastAsiaTheme="minorEastAsia" w:cstheme="minorBidi"/>
          <w:kern w:val="2"/>
        </w:rPr>
        <w:t>所示，</w:t>
      </w:r>
      <w:r>
        <w:rPr>
          <w:rFonts w:asciiTheme="minorEastAsia" w:hAnsiTheme="minorEastAsia" w:eastAsiaTheme="minorEastAsia" w:cstheme="minorBidi"/>
          <w:kern w:val="2"/>
        </w:rPr>
        <w:t>我们可以看到</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投资者赎回的基本特征是随着市场上涨</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投资者赎回金额有</w:t>
      </w:r>
      <w:r>
        <w:rPr>
          <w:rFonts w:hint="eastAsia" w:asciiTheme="minorEastAsia" w:hAnsiTheme="minorEastAsia" w:eastAsiaTheme="minorEastAsia" w:cstheme="minorBidi"/>
          <w:kern w:val="2"/>
        </w:rPr>
        <w:t>逐步</w:t>
      </w:r>
      <w:r>
        <w:rPr>
          <w:rFonts w:asciiTheme="minorEastAsia" w:hAnsiTheme="minorEastAsia" w:eastAsiaTheme="minorEastAsia" w:cstheme="minorBidi"/>
          <w:kern w:val="2"/>
        </w:rPr>
        <w:t>提升</w:t>
      </w:r>
      <w:r>
        <w:rPr>
          <w:rFonts w:hint="eastAsia" w:asciiTheme="minorEastAsia" w:hAnsiTheme="minorEastAsia" w:eastAsiaTheme="minorEastAsia" w:cstheme="minorBidi"/>
          <w:kern w:val="2"/>
        </w:rPr>
        <w:t>的</w:t>
      </w:r>
      <w:r>
        <w:rPr>
          <w:rFonts w:asciiTheme="minorEastAsia" w:hAnsiTheme="minorEastAsia" w:eastAsiaTheme="minorEastAsia" w:cstheme="minorBidi"/>
          <w:kern w:val="2"/>
        </w:rPr>
        <w:t>趋势</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即市场上涨投资者</w:t>
      </w:r>
      <w:r>
        <w:rPr>
          <w:rFonts w:hint="eastAsia" w:asciiTheme="minorEastAsia" w:hAnsiTheme="minorEastAsia" w:eastAsiaTheme="minorEastAsia" w:cstheme="minorBidi"/>
          <w:kern w:val="2"/>
        </w:rPr>
        <w:t>的</w:t>
      </w:r>
      <w:r>
        <w:rPr>
          <w:rFonts w:asciiTheme="minorEastAsia" w:hAnsiTheme="minorEastAsia" w:eastAsiaTheme="minorEastAsia" w:cstheme="minorBidi"/>
          <w:kern w:val="2"/>
        </w:rPr>
        <w:t>赎回金额</w:t>
      </w:r>
      <w:r>
        <w:rPr>
          <w:rFonts w:hint="eastAsia" w:asciiTheme="minorEastAsia" w:hAnsiTheme="minorEastAsia" w:eastAsiaTheme="minorEastAsia" w:cstheme="minorBidi"/>
          <w:kern w:val="2"/>
        </w:rPr>
        <w:t>就</w:t>
      </w:r>
      <w:r>
        <w:rPr>
          <w:rFonts w:asciiTheme="minorEastAsia" w:hAnsiTheme="minorEastAsia" w:eastAsiaTheme="minorEastAsia" w:cstheme="minorBidi"/>
          <w:kern w:val="2"/>
        </w:rPr>
        <w:t>增加</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市场下跌赎回就减少</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这是一个基本特征</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但是我们从上图可以看到</w:t>
      </w:r>
      <w:r>
        <w:rPr>
          <w:rFonts w:hint="eastAsia" w:asciiTheme="minorEastAsia" w:hAnsiTheme="minorEastAsia" w:eastAsiaTheme="minorEastAsia" w:cstheme="minorBidi"/>
          <w:kern w:val="2"/>
        </w:rPr>
        <w:t>当</w:t>
      </w:r>
      <w:r>
        <w:rPr>
          <w:rFonts w:asciiTheme="minorEastAsia" w:hAnsiTheme="minorEastAsia" w:eastAsiaTheme="minorEastAsia" w:cstheme="minorBidi"/>
          <w:kern w:val="2"/>
        </w:rPr>
        <w:t>市场下跌到一定程度</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投资者赎回激增</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这个就是通常所说的恐慌</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投资者在市场下跌</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悲观预期下</w:t>
      </w:r>
      <w:r>
        <w:rPr>
          <w:rFonts w:hint="eastAsia" w:asciiTheme="minorEastAsia" w:hAnsiTheme="minorEastAsia" w:eastAsiaTheme="minorEastAsia" w:cstheme="minorBidi"/>
          <w:kern w:val="2"/>
        </w:rPr>
        <w:t>集中赎回。那历史上，哪些日子投资者出现了恐慌呢？我们选取市场跌幅超过5%的交易日，看看对应当日的用户赎回金额，</w:t>
      </w:r>
      <w:r>
        <w:rPr>
          <w:rFonts w:asciiTheme="minorEastAsia" w:hAnsiTheme="minorEastAsia" w:eastAsiaTheme="minorEastAsia" w:cstheme="minorBidi"/>
          <w:kern w:val="2"/>
        </w:rPr>
        <w:t>出现</w:t>
      </w:r>
      <w:r>
        <w:rPr>
          <w:rFonts w:hint="eastAsia" w:asciiTheme="minorEastAsia" w:hAnsiTheme="minorEastAsia" w:eastAsiaTheme="minorEastAsia" w:cstheme="minorBidi"/>
          <w:kern w:val="2"/>
        </w:rPr>
        <w:t>悲观预期下</w:t>
      </w:r>
      <w:r>
        <w:rPr>
          <w:rFonts w:asciiTheme="minorEastAsia" w:hAnsiTheme="minorEastAsia" w:eastAsiaTheme="minorEastAsia" w:cstheme="minorBidi"/>
          <w:kern w:val="2"/>
        </w:rPr>
        <w:t>的</w:t>
      </w:r>
      <w:r>
        <w:rPr>
          <w:rFonts w:hint="eastAsia" w:asciiTheme="minorEastAsia" w:hAnsiTheme="minorEastAsia" w:eastAsiaTheme="minorEastAsia" w:cstheme="minorBidi"/>
          <w:kern w:val="2"/>
        </w:rPr>
        <w:t>恐慌赎回</w:t>
      </w:r>
      <w:r>
        <w:rPr>
          <w:rFonts w:asciiTheme="minorEastAsia" w:hAnsiTheme="minorEastAsia" w:eastAsiaTheme="minorEastAsia" w:cstheme="minorBidi"/>
          <w:kern w:val="2"/>
        </w:rPr>
        <w:t>的时间段</w:t>
      </w:r>
      <w:r>
        <w:rPr>
          <w:rFonts w:hint="eastAsia" w:asciiTheme="minorEastAsia" w:hAnsiTheme="minorEastAsia" w:eastAsiaTheme="minorEastAsia" w:cstheme="minorBidi"/>
          <w:kern w:val="2"/>
        </w:rPr>
        <w:t>，分别为2</w:t>
      </w:r>
      <w:r>
        <w:rPr>
          <w:rFonts w:asciiTheme="minorEastAsia" w:hAnsiTheme="minorEastAsia" w:eastAsiaTheme="minorEastAsia" w:cstheme="minorBidi"/>
          <w:kern w:val="2"/>
        </w:rPr>
        <w:t>018年</w:t>
      </w:r>
      <w:r>
        <w:rPr>
          <w:rFonts w:hint="eastAsia" w:asciiTheme="minorEastAsia" w:hAnsiTheme="minorEastAsia" w:eastAsiaTheme="minorEastAsia" w:cstheme="minorBidi"/>
          <w:kern w:val="2"/>
        </w:rPr>
        <w:t>6月-</w:t>
      </w:r>
      <w:r>
        <w:rPr>
          <w:rFonts w:asciiTheme="minorEastAsia" w:hAnsiTheme="minorEastAsia" w:eastAsiaTheme="minorEastAsia" w:cstheme="minorBidi"/>
          <w:kern w:val="2"/>
        </w:rPr>
        <w:t>10月</w:t>
      </w:r>
      <w:r>
        <w:rPr>
          <w:rFonts w:hint="eastAsia" w:asciiTheme="minorEastAsia" w:hAnsiTheme="minorEastAsia" w:eastAsiaTheme="minorEastAsia" w:cstheme="minorBidi"/>
          <w:kern w:val="2"/>
        </w:rPr>
        <w:t>，2</w:t>
      </w:r>
      <w:r>
        <w:rPr>
          <w:rFonts w:asciiTheme="minorEastAsia" w:hAnsiTheme="minorEastAsia" w:eastAsiaTheme="minorEastAsia" w:cstheme="minorBidi"/>
          <w:kern w:val="2"/>
        </w:rPr>
        <w:t>020年</w:t>
      </w:r>
      <w:r>
        <w:rPr>
          <w:rFonts w:hint="eastAsia" w:asciiTheme="minorEastAsia" w:hAnsiTheme="minorEastAsia" w:eastAsiaTheme="minorEastAsia" w:cstheme="minorBidi"/>
          <w:kern w:val="2"/>
        </w:rPr>
        <w:t>2-</w:t>
      </w:r>
      <w:r>
        <w:rPr>
          <w:rFonts w:asciiTheme="minorEastAsia" w:hAnsiTheme="minorEastAsia" w:eastAsiaTheme="minorEastAsia" w:cstheme="minorBidi"/>
          <w:kern w:val="2"/>
        </w:rPr>
        <w:t>3月</w:t>
      </w:r>
      <w:r>
        <w:rPr>
          <w:rFonts w:hint="eastAsia" w:asciiTheme="minorEastAsia" w:hAnsiTheme="minorEastAsia" w:eastAsiaTheme="minorEastAsia" w:cstheme="minorBidi"/>
          <w:kern w:val="2"/>
        </w:rPr>
        <w:t>，具体看，2</w:t>
      </w:r>
      <w:r>
        <w:rPr>
          <w:rFonts w:asciiTheme="minorEastAsia" w:hAnsiTheme="minorEastAsia" w:eastAsiaTheme="minorEastAsia" w:cstheme="minorBidi"/>
          <w:kern w:val="2"/>
        </w:rPr>
        <w:t>018年</w:t>
      </w:r>
      <w:r>
        <w:rPr>
          <w:rFonts w:hint="eastAsia" w:asciiTheme="minorEastAsia" w:hAnsiTheme="minorEastAsia" w:eastAsiaTheme="minorEastAsia" w:cstheme="minorBidi"/>
          <w:kern w:val="2"/>
        </w:rPr>
        <w:t>6月-</w:t>
      </w:r>
      <w:r>
        <w:rPr>
          <w:rFonts w:asciiTheme="minorEastAsia" w:hAnsiTheme="minorEastAsia" w:eastAsiaTheme="minorEastAsia" w:cstheme="minorBidi"/>
          <w:kern w:val="2"/>
        </w:rPr>
        <w:t>10月是贸易战背景下市场的底部区域</w:t>
      </w:r>
      <w:r>
        <w:rPr>
          <w:rFonts w:hint="eastAsia" w:asciiTheme="minorEastAsia" w:hAnsiTheme="minorEastAsia" w:eastAsiaTheme="minorEastAsia" w:cstheme="minorBidi"/>
          <w:kern w:val="2"/>
        </w:rPr>
        <w:t>，2</w:t>
      </w:r>
      <w:r>
        <w:rPr>
          <w:rFonts w:asciiTheme="minorEastAsia" w:hAnsiTheme="minorEastAsia" w:eastAsiaTheme="minorEastAsia" w:cstheme="minorBidi"/>
          <w:kern w:val="2"/>
        </w:rPr>
        <w:t>020年</w:t>
      </w:r>
      <w:r>
        <w:rPr>
          <w:rFonts w:hint="eastAsia" w:asciiTheme="minorEastAsia" w:hAnsiTheme="minorEastAsia" w:eastAsiaTheme="minorEastAsia" w:cstheme="minorBidi"/>
          <w:kern w:val="2"/>
        </w:rPr>
        <w:t>2-</w:t>
      </w:r>
      <w:r>
        <w:rPr>
          <w:rFonts w:asciiTheme="minorEastAsia" w:hAnsiTheme="minorEastAsia" w:eastAsiaTheme="minorEastAsia" w:cstheme="minorBidi"/>
          <w:kern w:val="2"/>
        </w:rPr>
        <w:t>3月受新冠疫情影响</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投资者恐慌情绪释放</w:t>
      </w:r>
      <w:r>
        <w:rPr>
          <w:rFonts w:hint="eastAsia" w:asciiTheme="minorEastAsia" w:hAnsiTheme="minorEastAsia" w:eastAsiaTheme="minorEastAsia" w:cstheme="minorBidi"/>
          <w:kern w:val="2"/>
        </w:rPr>
        <w:t>。投资者的赎回不仅与市场的涨跌相关，还有一个关键影响因素就是，投资者自身的收益率水平。</w:t>
      </w:r>
    </w:p>
    <w:p>
      <w:pPr>
        <w:spacing w:line="360" w:lineRule="auto"/>
        <w:rPr>
          <w:rFonts w:asciiTheme="minorEastAsia" w:hAnsiTheme="minorEastAsia" w:eastAsiaTheme="minorEastAsia" w:cstheme="minorBidi"/>
          <w:kern w:val="2"/>
        </w:rPr>
      </w:pPr>
      <w:r>
        <w:rPr>
          <w:rFonts w:asciiTheme="minorEastAsia" w:hAnsiTheme="minorEastAsia" w:eastAsiaTheme="minorEastAsia" w:cstheme="minorBidi"/>
          <w:kern w:val="2"/>
        </w:rPr>
        <w:drawing>
          <wp:inline distT="0" distB="0" distL="0" distR="0">
            <wp:extent cx="5274310" cy="2701925"/>
            <wp:effectExtent l="0" t="0" r="2540" b="3175"/>
            <wp:docPr id="71" name="图片 71" descr="C:\Users\dingxm\Desktop\图表导出\30图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dingxm\Desktop\图表导出\30图4.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274310" cy="2702472"/>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cstheme="minorBidi"/>
          <w:kern w:val="2"/>
        </w:rPr>
      </w:pPr>
      <w:r>
        <w:rPr>
          <w:rFonts w:hint="eastAsia" w:asciiTheme="minorEastAsia" w:hAnsiTheme="minorEastAsia" w:eastAsiaTheme="minorEastAsia" w:cstheme="minorBidi"/>
          <w:kern w:val="2"/>
        </w:rPr>
        <w:t>投资者赎回时，持仓收益率的水平分布基本符合正态分布，中位数为1%，其中，赎回时持仓收益率为正的人数占比为61.5%，为负的人数占比38.5%。在正负5%区间内的人数占比为53.5%，也就是大部分投资者都是小赚小赔的时候就卖了，持有收益率超过20%赎回的投资者只占5%。持有收益率低于-20%赎回的投资者只占1.4%，说明很少投资者在亏损超过20</w:t>
      </w:r>
      <w:r>
        <w:rPr>
          <w:rFonts w:asciiTheme="minorEastAsia" w:hAnsiTheme="minorEastAsia" w:eastAsiaTheme="minorEastAsia" w:cstheme="minorBidi"/>
          <w:kern w:val="2"/>
        </w:rPr>
        <w:t>%</w:t>
      </w:r>
      <w:r>
        <w:rPr>
          <w:rFonts w:hint="eastAsia" w:asciiTheme="minorEastAsia" w:hAnsiTheme="minorEastAsia" w:eastAsiaTheme="minorEastAsia" w:cstheme="minorBidi"/>
          <w:kern w:val="2"/>
        </w:rPr>
        <w:t>时割肉。</w:t>
      </w:r>
    </w:p>
    <w:p>
      <w:pPr>
        <w:pStyle w:val="3"/>
        <w:spacing w:line="240" w:lineRule="auto"/>
        <w:ind w:firstLine="422" w:firstLineChars="200"/>
        <w:rPr>
          <w:sz w:val="21"/>
          <w:szCs w:val="21"/>
          <w:u w:val="single"/>
          <w:lang w:val="en"/>
        </w:rPr>
      </w:pPr>
      <w:bookmarkStart w:id="27" w:name="_Toc41165323"/>
      <w:bookmarkStart w:id="28" w:name="_Toc41601904"/>
      <w:r>
        <w:rPr>
          <w:rFonts w:hint="eastAsia"/>
          <w:sz w:val="21"/>
          <w:szCs w:val="21"/>
          <w:u w:val="single"/>
        </w:rPr>
        <w:t>4</w:t>
      </w:r>
      <w:r>
        <w:rPr>
          <w:sz w:val="21"/>
          <w:szCs w:val="21"/>
          <w:u w:val="single"/>
          <w:lang w:val="en"/>
        </w:rPr>
        <w:t>.4</w:t>
      </w:r>
      <w:r>
        <w:rPr>
          <w:rFonts w:hint="eastAsia"/>
          <w:sz w:val="21"/>
          <w:szCs w:val="21"/>
          <w:u w:val="single"/>
          <w:lang w:val="en"/>
        </w:rPr>
        <w:t>“牛散”行为分析</w:t>
      </w:r>
      <w:bookmarkEnd w:id="27"/>
      <w:bookmarkEnd w:id="28"/>
      <w:r>
        <w:rPr>
          <w:rFonts w:hint="eastAsia"/>
          <w:sz w:val="21"/>
          <w:szCs w:val="21"/>
          <w:u w:val="single"/>
          <w:lang w:val="en"/>
        </w:rPr>
        <w:t xml:space="preserve"> </w:t>
      </w:r>
    </w:p>
    <w:p>
      <w:pPr>
        <w:spacing w:line="360" w:lineRule="auto"/>
        <w:ind w:firstLine="420" w:firstLineChars="200"/>
        <w:rPr>
          <w:rFonts w:asciiTheme="minorEastAsia" w:hAnsiTheme="minorEastAsia" w:eastAsiaTheme="minorEastAsia" w:cstheme="minorBidi"/>
          <w:kern w:val="2"/>
        </w:rPr>
      </w:pPr>
      <w:r>
        <w:rPr>
          <w:rFonts w:hint="eastAsia" w:asciiTheme="minorEastAsia" w:hAnsiTheme="minorEastAsia" w:eastAsiaTheme="minorEastAsia" w:cstheme="minorBidi"/>
          <w:kern w:val="2"/>
        </w:rPr>
        <w:t>有一群投资者，他们累计收益率超过20%，我们称这类散户</w:t>
      </w:r>
      <w:r>
        <w:rPr>
          <w:rFonts w:asciiTheme="minorEastAsia" w:hAnsiTheme="minorEastAsia" w:eastAsiaTheme="minorEastAsia" w:cstheme="minorBidi"/>
          <w:kern w:val="2"/>
        </w:rPr>
        <w:t>牛人</w:t>
      </w:r>
      <w:r>
        <w:rPr>
          <w:rFonts w:hint="eastAsia" w:asciiTheme="minorEastAsia" w:hAnsiTheme="minorEastAsia" w:eastAsiaTheme="minorEastAsia" w:cstheme="minorBidi"/>
          <w:kern w:val="2"/>
        </w:rPr>
        <w:t>为“牛散”。牛散是如何形成的，牛散的</w:t>
      </w:r>
      <w:r>
        <w:rPr>
          <w:rFonts w:asciiTheme="minorEastAsia" w:hAnsiTheme="minorEastAsia" w:eastAsiaTheme="minorEastAsia" w:cstheme="minorBidi"/>
          <w:kern w:val="2"/>
        </w:rPr>
        <w:t>交易行为</w:t>
      </w:r>
      <w:r>
        <w:rPr>
          <w:rFonts w:hint="eastAsia" w:asciiTheme="minorEastAsia" w:hAnsiTheme="minorEastAsia" w:eastAsiaTheme="minorEastAsia" w:cstheme="minorBidi"/>
          <w:kern w:val="2"/>
        </w:rPr>
        <w:t>有什么特征，对普通</w:t>
      </w:r>
      <w:r>
        <w:rPr>
          <w:rFonts w:asciiTheme="minorEastAsia" w:hAnsiTheme="minorEastAsia" w:eastAsiaTheme="minorEastAsia" w:cstheme="minorBidi"/>
          <w:kern w:val="2"/>
        </w:rPr>
        <w:t>投资者</w:t>
      </w:r>
      <w:r>
        <w:rPr>
          <w:rFonts w:hint="eastAsia" w:asciiTheme="minorEastAsia" w:hAnsiTheme="minorEastAsia" w:eastAsiaTheme="minorEastAsia" w:cstheme="minorBidi"/>
          <w:kern w:val="2"/>
        </w:rPr>
        <w:t>是否</w:t>
      </w:r>
      <w:r>
        <w:rPr>
          <w:rFonts w:asciiTheme="minorEastAsia" w:hAnsiTheme="minorEastAsia" w:eastAsiaTheme="minorEastAsia" w:cstheme="minorBidi"/>
          <w:kern w:val="2"/>
        </w:rPr>
        <w:t>有</w:t>
      </w:r>
      <w:r>
        <w:rPr>
          <w:rFonts w:hint="eastAsia" w:asciiTheme="minorEastAsia" w:hAnsiTheme="minorEastAsia" w:eastAsiaTheme="minorEastAsia" w:cstheme="minorBidi"/>
          <w:kern w:val="2"/>
        </w:rPr>
        <w:t>借鉴意义？下面我们就展开来看。</w:t>
      </w:r>
    </w:p>
    <w:p>
      <w:pPr>
        <w:spacing w:line="360" w:lineRule="auto"/>
        <w:rPr>
          <w:rFonts w:asciiTheme="minorEastAsia" w:hAnsiTheme="minorEastAsia" w:eastAsiaTheme="minorEastAsia" w:cstheme="minorBidi"/>
          <w:kern w:val="2"/>
        </w:rPr>
      </w:pPr>
      <w:r>
        <w:rPr>
          <w:rFonts w:asciiTheme="minorEastAsia" w:hAnsiTheme="minorEastAsia" w:eastAsiaTheme="minorEastAsia" w:cstheme="minorBidi"/>
          <w:kern w:val="2"/>
        </w:rPr>
        <w:drawing>
          <wp:inline distT="0" distB="0" distL="0" distR="0">
            <wp:extent cx="5274310" cy="2660650"/>
            <wp:effectExtent l="0" t="0" r="2540" b="6350"/>
            <wp:docPr id="72" name="图片 72" descr="C:\Users\dingxm\Desktop\图表导出\31图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dingxm\Desktop\图表导出\31图4.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274310" cy="2661202"/>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cstheme="minorBidi"/>
          <w:kern w:val="2"/>
        </w:rPr>
      </w:pPr>
      <w:r>
        <w:rPr>
          <w:rFonts w:hint="eastAsia" w:asciiTheme="minorEastAsia" w:hAnsiTheme="minorEastAsia" w:eastAsiaTheme="minorEastAsia" w:cstheme="minorBidi"/>
          <w:kern w:val="2"/>
        </w:rPr>
        <w:t>牛散占整体天弘创业板投资者的5.5%</w:t>
      </w:r>
      <w:r>
        <w:rPr>
          <w:rFonts w:asciiTheme="minorEastAsia" w:hAnsiTheme="minorEastAsia" w:eastAsiaTheme="minorEastAsia" w:cstheme="minorBidi"/>
          <w:kern w:val="2"/>
        </w:rPr>
        <w:t>，</w:t>
      </w:r>
      <w:r>
        <w:rPr>
          <w:rFonts w:hint="eastAsia" w:asciiTheme="minorEastAsia" w:hAnsiTheme="minorEastAsia" w:eastAsiaTheme="minorEastAsia" w:cstheme="minorBidi"/>
          <w:kern w:val="2"/>
        </w:rPr>
        <w:t>他们的累计收益率均值为29.5%，人均累计收益金额1579元。这群投资者</w:t>
      </w:r>
      <w:r>
        <w:rPr>
          <w:rFonts w:asciiTheme="minorEastAsia" w:hAnsiTheme="minorEastAsia" w:eastAsiaTheme="minorEastAsia" w:cstheme="minorBidi"/>
          <w:kern w:val="2"/>
        </w:rPr>
        <w:t>中，</w:t>
      </w:r>
      <w:r>
        <w:rPr>
          <w:rFonts w:hint="eastAsia" w:asciiTheme="minorEastAsia" w:hAnsiTheme="minorEastAsia" w:eastAsiaTheme="minorEastAsia" w:cstheme="minorBidi"/>
          <w:kern w:val="2"/>
        </w:rPr>
        <w:t>目前75%的投资者仍然有持仓，平均持仓收益率为20%，持仓收益金额为1128元。</w:t>
      </w:r>
    </w:p>
    <w:p>
      <w:pPr>
        <w:spacing w:line="360" w:lineRule="auto"/>
        <w:ind w:firstLine="420" w:firstLineChars="200"/>
        <w:rPr>
          <w:rFonts w:asciiTheme="minorEastAsia" w:hAnsiTheme="minorEastAsia" w:eastAsiaTheme="minorEastAsia" w:cstheme="minorBidi"/>
          <w:kern w:val="2"/>
        </w:rPr>
      </w:pPr>
      <w:r>
        <w:rPr>
          <w:rFonts w:hint="eastAsia" w:asciiTheme="minorEastAsia" w:hAnsiTheme="minorEastAsia" w:eastAsiaTheme="minorEastAsia" w:cstheme="minorBidi"/>
          <w:kern w:val="2"/>
        </w:rPr>
        <w:t>从交易特征来看，牛散群体人均申购24笔，人均赎回1.17笔，平均持有期277天，平均累计投入8415元，明显的符合长投、定投特征。具体从交易行为来看，86.9%的牛散是长投投资者，32.7%的投资者有过定投行为，牛散中短炒投资者仅占1.3%。</w:t>
      </w:r>
    </w:p>
    <w:p>
      <w:pPr>
        <w:spacing w:line="360" w:lineRule="auto"/>
        <w:rPr>
          <w:rFonts w:asciiTheme="minorEastAsia" w:hAnsiTheme="minorEastAsia" w:eastAsiaTheme="minorEastAsia" w:cstheme="minorBidi"/>
          <w:kern w:val="2"/>
        </w:rPr>
      </w:pPr>
      <w:r>
        <w:rPr>
          <w:rFonts w:asciiTheme="minorEastAsia" w:hAnsiTheme="minorEastAsia" w:eastAsiaTheme="minorEastAsia" w:cstheme="minorBidi"/>
          <w:kern w:val="2"/>
        </w:rPr>
        <w:drawing>
          <wp:inline distT="0" distB="0" distL="0" distR="0">
            <wp:extent cx="5274310" cy="1633220"/>
            <wp:effectExtent l="0" t="0" r="2540" b="5080"/>
            <wp:docPr id="73" name="图片 73" descr="C:\Users\dingxm\Desktop\图表导出\32表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Users\dingxm\Desktop\图表导出\32表4.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274310" cy="1633492"/>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cstheme="minorBidi"/>
          <w:kern w:val="2"/>
        </w:rPr>
      </w:pPr>
      <w:r>
        <w:rPr>
          <w:rFonts w:hint="eastAsia" w:asciiTheme="minorEastAsia" w:hAnsiTheme="minorEastAsia" w:eastAsiaTheme="minorEastAsia" w:cstheme="minorBidi"/>
          <w:kern w:val="2"/>
        </w:rPr>
        <w:t>从历史上牛散的每日交易与创业板指数的净值走势对比来看，牛散交易的核心特征就是市场回落过程中，不断加仓，阶段性高点集中赎回获利了结。从历史来看，2018年-2019年初这一段，2019年12月至2020年2月这一段，牛散这一行为特征更为显著。如图</w:t>
      </w:r>
      <w:r>
        <w:rPr>
          <w:rFonts w:asciiTheme="minorEastAsia" w:hAnsiTheme="minorEastAsia" w:eastAsiaTheme="minorEastAsia" w:cstheme="minorBidi"/>
          <w:kern w:val="2"/>
        </w:rPr>
        <w:t>4.8</w:t>
      </w:r>
      <w:r>
        <w:rPr>
          <w:rFonts w:hint="eastAsia" w:asciiTheme="minorEastAsia" w:hAnsiTheme="minorEastAsia" w:eastAsiaTheme="minorEastAsia" w:cstheme="minorBidi"/>
          <w:kern w:val="2"/>
        </w:rPr>
        <w:t>所示。</w:t>
      </w:r>
    </w:p>
    <w:p>
      <w:pPr>
        <w:spacing w:line="360" w:lineRule="auto"/>
        <w:rPr>
          <w:rFonts w:asciiTheme="minorEastAsia" w:hAnsiTheme="minorEastAsia" w:eastAsiaTheme="minorEastAsia" w:cstheme="minorBidi"/>
          <w:kern w:val="2"/>
        </w:rPr>
      </w:pPr>
      <w:r>
        <w:rPr>
          <w:rFonts w:asciiTheme="minorEastAsia" w:hAnsiTheme="minorEastAsia" w:eastAsiaTheme="minorEastAsia" w:cstheme="minorBidi"/>
          <w:kern w:val="2"/>
        </w:rPr>
        <w:drawing>
          <wp:inline distT="0" distB="0" distL="0" distR="0">
            <wp:extent cx="5274310" cy="3152140"/>
            <wp:effectExtent l="0" t="0" r="2540" b="0"/>
            <wp:docPr id="75" name="图片 75" descr="C:\Users\dingxm\Desktop\图表导出\33图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dingxm\Desktop\图表导出\33图4.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274310" cy="3152284"/>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cstheme="minorBidi"/>
          <w:kern w:val="2"/>
        </w:rPr>
      </w:pPr>
      <w:r>
        <w:rPr>
          <w:rFonts w:hint="eastAsia" w:asciiTheme="minorEastAsia" w:hAnsiTheme="minorEastAsia" w:eastAsiaTheme="minorEastAsia" w:cstheme="minorBidi"/>
          <w:kern w:val="2"/>
        </w:rPr>
        <w:t>当然我们目前还不能因为牛散过往取得较好的收益率，就认为他们的赚钱能力有持续性，跟着牛散交易就能赚钱。但是分析赚钱的投资者都是在什么时段申购，什么时段赎回，对普通投资者购买指数基金具有一定参考价值。</w:t>
      </w:r>
      <w:r>
        <w:rPr>
          <w:rFonts w:asciiTheme="minorEastAsia" w:hAnsiTheme="minorEastAsia" w:eastAsiaTheme="minorEastAsia" w:cstheme="minorBidi"/>
          <w:kern w:val="2"/>
        </w:rPr>
        <w:t>从</w:t>
      </w:r>
      <w:r>
        <w:rPr>
          <w:rFonts w:hint="eastAsia" w:asciiTheme="minorEastAsia" w:hAnsiTheme="minorEastAsia" w:eastAsiaTheme="minorEastAsia" w:cstheme="minorBidi"/>
          <w:kern w:val="2"/>
        </w:rPr>
        <w:t>操作行为总结来看，牛散的</w:t>
      </w:r>
      <w:r>
        <w:rPr>
          <w:rFonts w:asciiTheme="minorEastAsia" w:hAnsiTheme="minorEastAsia" w:eastAsiaTheme="minorEastAsia" w:cstheme="minorBidi"/>
          <w:kern w:val="2"/>
        </w:rPr>
        <w:t>法宝是：</w:t>
      </w:r>
      <w:r>
        <w:rPr>
          <w:rFonts w:hint="eastAsia" w:asciiTheme="minorEastAsia" w:hAnsiTheme="minorEastAsia" w:eastAsiaTheme="minorEastAsia" w:cstheme="minorBidi"/>
          <w:kern w:val="2"/>
        </w:rPr>
        <w:t>市场回落持续加仓，通过定投、主动持续购买，待市场回升，设置</w:t>
      </w:r>
      <w:r>
        <w:rPr>
          <w:rFonts w:asciiTheme="minorEastAsia" w:hAnsiTheme="minorEastAsia" w:eastAsiaTheme="minorEastAsia" w:cstheme="minorBidi"/>
          <w:kern w:val="2"/>
        </w:rPr>
        <w:t>一定的目标收益率</w:t>
      </w:r>
      <w:r>
        <w:rPr>
          <w:rFonts w:hint="eastAsia" w:asciiTheme="minorEastAsia" w:hAnsiTheme="minorEastAsia" w:eastAsiaTheme="minorEastAsia" w:cstheme="minorBidi"/>
          <w:kern w:val="2"/>
        </w:rPr>
        <w:t>止盈。投资者可能会问，收益率多少时</w:t>
      </w:r>
      <w:r>
        <w:rPr>
          <w:rFonts w:asciiTheme="minorEastAsia" w:hAnsiTheme="minorEastAsia" w:eastAsiaTheme="minorEastAsia" w:cstheme="minorBidi"/>
          <w:kern w:val="2"/>
        </w:rPr>
        <w:t>可以</w:t>
      </w:r>
      <w:r>
        <w:rPr>
          <w:rFonts w:hint="eastAsia" w:asciiTheme="minorEastAsia" w:hAnsiTheme="minorEastAsia" w:eastAsiaTheme="minorEastAsia" w:cstheme="minorBidi"/>
          <w:kern w:val="2"/>
        </w:rPr>
        <w:t>止盈赎回？这个要看</w:t>
      </w:r>
      <w:r>
        <w:rPr>
          <w:rFonts w:asciiTheme="minorEastAsia" w:hAnsiTheme="minorEastAsia" w:eastAsiaTheme="minorEastAsia" w:cstheme="minorBidi"/>
          <w:kern w:val="2"/>
        </w:rPr>
        <w:t>投资者自身的风险偏好和收益预期</w:t>
      </w:r>
      <w:r>
        <w:rPr>
          <w:rFonts w:hint="eastAsia" w:asciiTheme="minorEastAsia" w:hAnsiTheme="minorEastAsia" w:eastAsiaTheme="minorEastAsia" w:cstheme="minorBidi"/>
          <w:kern w:val="2"/>
        </w:rPr>
        <w:t>。但是从百万创业板指数基金投资者来看，累计收益率超过20%的投资者占比5.</w:t>
      </w:r>
      <w:r>
        <w:rPr>
          <w:rFonts w:asciiTheme="minorEastAsia" w:hAnsiTheme="minorEastAsia" w:eastAsiaTheme="minorEastAsia" w:cstheme="minorBidi"/>
          <w:kern w:val="2"/>
        </w:rPr>
        <w:t>5</w:t>
      </w:r>
      <w:r>
        <w:rPr>
          <w:rFonts w:hint="eastAsia" w:asciiTheme="minorEastAsia" w:hAnsiTheme="minorEastAsia" w:eastAsiaTheme="minorEastAsia" w:cstheme="minorBidi"/>
          <w:kern w:val="2"/>
        </w:rPr>
        <w:t>%</w:t>
      </w:r>
      <w:r>
        <w:rPr>
          <w:rFonts w:asciiTheme="minorEastAsia" w:hAnsiTheme="minorEastAsia" w:eastAsiaTheme="minorEastAsia" w:cstheme="minorBidi"/>
          <w:kern w:val="2"/>
        </w:rPr>
        <w:t>，从</w:t>
      </w:r>
      <w:r>
        <w:rPr>
          <w:rFonts w:hint="eastAsia" w:asciiTheme="minorEastAsia" w:hAnsiTheme="minorEastAsia" w:eastAsiaTheme="minorEastAsia" w:cstheme="minorBidi"/>
          <w:kern w:val="2"/>
        </w:rPr>
        <w:t>这个角度来看，15-20%可能是一个较好的收益率水平。</w:t>
      </w:r>
    </w:p>
    <w:p>
      <w:pPr>
        <w:pStyle w:val="2"/>
        <w:spacing w:line="240" w:lineRule="auto"/>
        <w:ind w:firstLine="422" w:firstLineChars="200"/>
        <w:rPr>
          <w:sz w:val="21"/>
          <w:szCs w:val="21"/>
        </w:rPr>
      </w:pPr>
      <w:bookmarkStart w:id="29" w:name="_Toc41165324"/>
      <w:bookmarkStart w:id="30" w:name="_Toc41601905"/>
      <w:r>
        <w:rPr>
          <w:rFonts w:hint="eastAsia"/>
          <w:sz w:val="21"/>
          <w:szCs w:val="21"/>
        </w:rPr>
        <w:t>五</w:t>
      </w:r>
      <w:r>
        <w:rPr>
          <w:sz w:val="21"/>
          <w:szCs w:val="21"/>
        </w:rPr>
        <w:t>、</w:t>
      </w:r>
      <w:r>
        <w:rPr>
          <w:rFonts w:hint="eastAsia"/>
          <w:sz w:val="21"/>
          <w:szCs w:val="21"/>
        </w:rPr>
        <w:t>创业板指数的国际经验借鉴</w:t>
      </w:r>
      <w:bookmarkEnd w:id="29"/>
      <w:r>
        <w:rPr>
          <w:rFonts w:hint="eastAsia"/>
          <w:sz w:val="21"/>
          <w:szCs w:val="21"/>
        </w:rPr>
        <w:t>和前景展望</w:t>
      </w:r>
      <w:bookmarkEnd w:id="30"/>
    </w:p>
    <w:p>
      <w:pPr>
        <w:pStyle w:val="3"/>
        <w:spacing w:line="240" w:lineRule="auto"/>
        <w:ind w:firstLine="422" w:firstLineChars="200"/>
        <w:rPr>
          <w:sz w:val="21"/>
          <w:szCs w:val="21"/>
          <w:u w:val="single"/>
        </w:rPr>
      </w:pPr>
      <w:bookmarkStart w:id="31" w:name="_Toc41601906"/>
      <w:r>
        <w:rPr>
          <w:rFonts w:hint="eastAsia"/>
          <w:sz w:val="21"/>
          <w:szCs w:val="21"/>
          <w:u w:val="single"/>
        </w:rPr>
        <w:t>5.1 产业变迁、经济转型的国际借鉴</w:t>
      </w:r>
      <w:bookmarkEnd w:id="31"/>
    </w:p>
    <w:p>
      <w:pPr>
        <w:spacing w:line="360" w:lineRule="auto"/>
        <w:ind w:firstLine="422" w:firstLineChars="200"/>
        <w:rPr>
          <w:rFonts w:asciiTheme="minorEastAsia" w:hAnsiTheme="minorEastAsia" w:eastAsiaTheme="minorEastAsia"/>
          <w:b/>
          <w:color w:val="ED7703"/>
        </w:rPr>
      </w:pPr>
      <w:r>
        <w:rPr>
          <w:rFonts w:hint="eastAsia" w:asciiTheme="minorEastAsia" w:hAnsiTheme="minorEastAsia" w:eastAsiaTheme="minorEastAsia"/>
          <w:b/>
          <w:color w:val="ED7703"/>
        </w:rPr>
        <w:t>（1）</w:t>
      </w:r>
      <w:r>
        <w:rPr>
          <w:rFonts w:asciiTheme="minorEastAsia" w:hAnsiTheme="minorEastAsia" w:eastAsiaTheme="minorEastAsia"/>
          <w:b/>
          <w:color w:val="ED7703"/>
        </w:rPr>
        <w:t>美国</w:t>
      </w:r>
      <w:r>
        <w:rPr>
          <w:rFonts w:hint="eastAsia" w:asciiTheme="minorEastAsia" w:hAnsiTheme="minorEastAsia" w:eastAsiaTheme="minorEastAsia"/>
          <w:b/>
          <w:color w:val="ED7703"/>
        </w:rPr>
        <w:t>历史产业结构调整及股市行业变迁</w:t>
      </w:r>
    </w:p>
    <w:p>
      <w:pPr>
        <w:spacing w:line="360" w:lineRule="auto"/>
        <w:ind w:firstLine="420" w:firstLineChars="200"/>
        <w:rPr>
          <w:rFonts w:asciiTheme="minorEastAsia" w:hAnsiTheme="minorEastAsia" w:eastAsiaTheme="minorEastAsia"/>
        </w:rPr>
      </w:pPr>
      <w:r>
        <w:rPr>
          <w:rFonts w:hint="eastAsia" w:asciiTheme="minorEastAsia" w:hAnsiTheme="minorEastAsia" w:eastAsiaTheme="minorEastAsia"/>
        </w:rPr>
        <w:t>从美国的行业经济产值变化看，1990到2019年经济产值呈现出科技、医药逐步提升，消费和金融、地产稳中有降，而传统周期和制造逐渐收缩的态势。对应的看1990年和</w:t>
      </w:r>
      <w:r>
        <w:rPr>
          <w:rFonts w:asciiTheme="minorEastAsia" w:hAnsiTheme="minorEastAsia" w:eastAsiaTheme="minorEastAsia"/>
        </w:rPr>
        <w:t>2020</w:t>
      </w:r>
      <w:r>
        <w:rPr>
          <w:rFonts w:hint="eastAsia" w:asciiTheme="minorEastAsia" w:hAnsiTheme="minorEastAsia" w:eastAsiaTheme="minorEastAsia"/>
        </w:rPr>
        <w:t>年标普5</w:t>
      </w:r>
      <w:r>
        <w:rPr>
          <w:rFonts w:asciiTheme="minorEastAsia" w:hAnsiTheme="minorEastAsia" w:eastAsiaTheme="minorEastAsia"/>
        </w:rPr>
        <w:t>00的行业权重</w:t>
      </w:r>
      <w:r>
        <w:rPr>
          <w:rFonts w:hint="eastAsia" w:asciiTheme="minorEastAsia" w:hAnsiTheme="minorEastAsia" w:eastAsiaTheme="minorEastAsia"/>
        </w:rPr>
        <w:t>，股市行业结构也同样呈现出科技和医药占比上升</w:t>
      </w:r>
      <w:r>
        <w:rPr>
          <w:rFonts w:asciiTheme="minorEastAsia" w:hAnsiTheme="minorEastAsia" w:eastAsiaTheme="minorEastAsia"/>
        </w:rPr>
        <w:t>，</w:t>
      </w:r>
      <w:r>
        <w:rPr>
          <w:rFonts w:hint="eastAsia" w:asciiTheme="minorEastAsia" w:hAnsiTheme="minorEastAsia" w:eastAsiaTheme="minorEastAsia"/>
        </w:rPr>
        <w:t>消费</w:t>
      </w:r>
      <w:r>
        <w:rPr>
          <w:rFonts w:asciiTheme="minorEastAsia" w:hAnsiTheme="minorEastAsia" w:eastAsiaTheme="minorEastAsia"/>
        </w:rPr>
        <w:t>、</w:t>
      </w:r>
      <w:r>
        <w:rPr>
          <w:rFonts w:hint="eastAsia" w:asciiTheme="minorEastAsia" w:hAnsiTheme="minorEastAsia" w:eastAsiaTheme="minorEastAsia"/>
        </w:rPr>
        <w:t>传统周期和制造行业占比下降的趋势。</w:t>
      </w:r>
    </w:p>
    <w:p>
      <w:pPr>
        <w:spacing w:line="360" w:lineRule="auto"/>
        <w:rPr>
          <w:rFonts w:asciiTheme="minorEastAsia" w:hAnsiTheme="minorEastAsia" w:eastAsiaTheme="minorEastAsia"/>
        </w:rPr>
      </w:pPr>
      <w:r>
        <w:rPr>
          <w:rFonts w:asciiTheme="minorEastAsia" w:hAnsiTheme="minorEastAsia" w:eastAsiaTheme="minorEastAsia"/>
        </w:rPr>
        <w:drawing>
          <wp:inline distT="0" distB="0" distL="0" distR="0">
            <wp:extent cx="5274310" cy="4860290"/>
            <wp:effectExtent l="0" t="0" r="2540" b="0"/>
            <wp:docPr id="76" name="图片 76" descr="C:\Users\dingxm\Desktop\图表导出\34图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dingxm\Desktop\图表导出\34图5.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274310" cy="4860314"/>
                    </a:xfrm>
                    <a:prstGeom prst="rect">
                      <a:avLst/>
                    </a:prstGeom>
                    <a:noFill/>
                    <a:ln>
                      <a:noFill/>
                    </a:ln>
                  </pic:spPr>
                </pic:pic>
              </a:graphicData>
            </a:graphic>
          </wp:inline>
        </w:drawing>
      </w:r>
    </w:p>
    <w:p>
      <w:pPr>
        <w:spacing w:line="360" w:lineRule="auto"/>
        <w:rPr>
          <w:rFonts w:asciiTheme="minorEastAsia" w:hAnsiTheme="minorEastAsia" w:eastAsiaTheme="minorEastAsia"/>
        </w:rPr>
      </w:pPr>
      <w:r>
        <w:rPr>
          <w:rFonts w:asciiTheme="minorEastAsia" w:hAnsiTheme="minorEastAsia" w:eastAsiaTheme="minorEastAsia"/>
        </w:rPr>
        <w:drawing>
          <wp:inline distT="0" distB="0" distL="0" distR="0">
            <wp:extent cx="5274310" cy="2835910"/>
            <wp:effectExtent l="0" t="0" r="2540" b="2540"/>
            <wp:docPr id="81" name="图片 81" descr="C:\Users\dingxm\Desktop\图表导出\35图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dingxm\Desktop\图表导出\35图5.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274310" cy="2836186"/>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b/>
        </w:rPr>
      </w:pPr>
      <w:r>
        <w:rPr>
          <w:rFonts w:hint="eastAsia" w:asciiTheme="minorEastAsia" w:hAnsiTheme="minorEastAsia" w:eastAsiaTheme="minorEastAsia"/>
        </w:rPr>
        <w:t>尤其是2</w:t>
      </w:r>
      <w:r>
        <w:rPr>
          <w:rFonts w:asciiTheme="minorEastAsia" w:hAnsiTheme="minorEastAsia" w:eastAsiaTheme="minorEastAsia"/>
        </w:rPr>
        <w:t>001年互联网泡沫破裂之后</w:t>
      </w:r>
      <w:r>
        <w:rPr>
          <w:rFonts w:hint="eastAsia" w:asciiTheme="minorEastAsia" w:hAnsiTheme="minorEastAsia" w:eastAsiaTheme="minorEastAsia"/>
        </w:rPr>
        <w:t>，美股的主要行业（日常消费、可选消费、信息技术和医疗保健）均迎来了估值（纵坐标</w:t>
      </w:r>
      <w:r>
        <w:rPr>
          <w:rFonts w:asciiTheme="minorEastAsia" w:hAnsiTheme="minorEastAsia" w:eastAsiaTheme="minorEastAsia"/>
        </w:rPr>
        <w:t>PB</w:t>
      </w:r>
      <w:r>
        <w:rPr>
          <w:rFonts w:hint="eastAsia" w:asciiTheme="minorEastAsia" w:hAnsiTheme="minorEastAsia" w:eastAsiaTheme="minorEastAsia"/>
        </w:rPr>
        <w:t>）和企业盈利（横坐标行业整体</w:t>
      </w:r>
      <w:r>
        <w:rPr>
          <w:rFonts w:asciiTheme="minorEastAsia" w:hAnsiTheme="minorEastAsia" w:eastAsiaTheme="minorEastAsia"/>
        </w:rPr>
        <w:t>ROE</w:t>
      </w:r>
      <w:r>
        <w:rPr>
          <w:rFonts w:hint="eastAsia" w:asciiTheme="minorEastAsia" w:hAnsiTheme="minorEastAsia" w:eastAsiaTheme="minorEastAsia"/>
        </w:rPr>
        <w:t>水平、市值加权）带来的戴维斯双击，形成了指数长牛的局面。</w:t>
      </w:r>
    </w:p>
    <w:p>
      <w:pPr>
        <w:spacing w:line="360" w:lineRule="auto"/>
        <w:ind w:firstLine="422" w:firstLineChars="200"/>
        <w:rPr>
          <w:rFonts w:asciiTheme="minorEastAsia" w:hAnsiTheme="minorEastAsia" w:eastAsiaTheme="minorEastAsia"/>
          <w:b/>
          <w:color w:val="ED7703"/>
        </w:rPr>
      </w:pPr>
      <w:r>
        <w:rPr>
          <w:rFonts w:hint="eastAsia" w:asciiTheme="minorEastAsia" w:hAnsiTheme="minorEastAsia" w:eastAsiaTheme="minorEastAsia"/>
          <w:b/>
          <w:color w:val="ED7703"/>
        </w:rPr>
        <w:t>（2）日本历史产业结构调整及股市行业变迁</w:t>
      </w:r>
    </w:p>
    <w:p>
      <w:pPr>
        <w:spacing w:line="360" w:lineRule="auto"/>
        <w:ind w:firstLine="480"/>
        <w:rPr>
          <w:rFonts w:asciiTheme="minorEastAsia" w:hAnsiTheme="minorEastAsia" w:eastAsiaTheme="minorEastAsia"/>
        </w:rPr>
      </w:pPr>
      <w:r>
        <w:rPr>
          <w:rFonts w:hint="eastAsia" w:asciiTheme="minorEastAsia" w:hAnsiTheme="minorEastAsia" w:eastAsiaTheme="minorEastAsia"/>
        </w:rPr>
        <w:t>1974年石油危机后日本进行产业结构调整，由重化工制造业向交运机械、电气机械等加工组装型制造业转移；1989年经济危机、股市泡沫之后，日本重建金融体系、加速对外开放、经济转向信息技术产业驱动。</w:t>
      </w:r>
    </w:p>
    <w:p>
      <w:pPr>
        <w:spacing w:line="360" w:lineRule="auto"/>
        <w:rPr>
          <w:rFonts w:asciiTheme="minorEastAsia" w:hAnsiTheme="minorEastAsia" w:eastAsiaTheme="minorEastAsia"/>
          <w:b/>
        </w:rPr>
      </w:pPr>
      <w:r>
        <w:rPr>
          <w:rFonts w:asciiTheme="minorEastAsia" w:hAnsiTheme="minorEastAsia" w:eastAsiaTheme="minorEastAsia"/>
          <w:b/>
        </w:rPr>
        <w:drawing>
          <wp:inline distT="0" distB="0" distL="0" distR="0">
            <wp:extent cx="5274310" cy="2610485"/>
            <wp:effectExtent l="0" t="0" r="2540" b="0"/>
            <wp:docPr id="84" name="图片 84" descr="C:\Users\dingxm\Desktop\图表导出\36表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dingxm\Desktop\图表导出\36表5.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274310" cy="2611045"/>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rPr>
      </w:pPr>
      <w:r>
        <w:rPr>
          <w:rFonts w:hint="eastAsia" w:asciiTheme="minorEastAsia" w:hAnsiTheme="minorEastAsia" w:eastAsiaTheme="minorEastAsia"/>
        </w:rPr>
        <w:t>从日本股市2000至20</w:t>
      </w:r>
      <w:r>
        <w:rPr>
          <w:rFonts w:asciiTheme="minorEastAsia" w:hAnsiTheme="minorEastAsia" w:eastAsiaTheme="minorEastAsia"/>
        </w:rPr>
        <w:t>20</w:t>
      </w:r>
      <w:r>
        <w:rPr>
          <w:rFonts w:hint="eastAsia" w:asciiTheme="minorEastAsia" w:hAnsiTheme="minorEastAsia" w:eastAsiaTheme="minorEastAsia"/>
        </w:rPr>
        <w:t>年间的行业结构变迁可以看出科技、医药+消费双驱动的趋势。</w:t>
      </w:r>
    </w:p>
    <w:p>
      <w:pPr>
        <w:spacing w:line="360" w:lineRule="auto"/>
        <w:rPr>
          <w:rFonts w:asciiTheme="minorEastAsia" w:hAnsiTheme="minorEastAsia" w:eastAsiaTheme="minorEastAsia"/>
        </w:rPr>
      </w:pPr>
      <w:r>
        <w:rPr>
          <w:rFonts w:asciiTheme="minorEastAsia" w:hAnsiTheme="minorEastAsia" w:eastAsiaTheme="minorEastAsia"/>
        </w:rPr>
        <w:drawing>
          <wp:inline distT="0" distB="0" distL="0" distR="0">
            <wp:extent cx="5274310" cy="5410200"/>
            <wp:effectExtent l="0" t="0" r="2540" b="0"/>
            <wp:docPr id="85" name="图片 85" descr="C:\Users\dingxm\Desktop\图表导出\37图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dingxm\Desktop\图表导出\37图5.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274310" cy="5410421"/>
                    </a:xfrm>
                    <a:prstGeom prst="rect">
                      <a:avLst/>
                    </a:prstGeom>
                    <a:noFill/>
                    <a:ln>
                      <a:noFill/>
                    </a:ln>
                  </pic:spPr>
                </pic:pic>
              </a:graphicData>
            </a:graphic>
          </wp:inline>
        </w:drawing>
      </w:r>
    </w:p>
    <w:p>
      <w:pPr>
        <w:widowControl w:val="0"/>
        <w:spacing w:line="360" w:lineRule="auto"/>
        <w:rPr>
          <w:rFonts w:asciiTheme="minorEastAsia" w:hAnsiTheme="minorEastAsia" w:eastAsiaTheme="minorEastAsia"/>
          <w:b/>
          <w:color w:val="ED7703"/>
        </w:rPr>
      </w:pPr>
      <w:r>
        <w:rPr>
          <w:rFonts w:hint="eastAsia" w:asciiTheme="minorEastAsia" w:hAnsiTheme="minorEastAsia" w:eastAsiaTheme="minorEastAsia"/>
          <w:b/>
          <w:color w:val="ED7703"/>
        </w:rPr>
        <w:t>（</w:t>
      </w:r>
      <w:r>
        <w:rPr>
          <w:rFonts w:asciiTheme="minorEastAsia" w:hAnsiTheme="minorEastAsia" w:eastAsiaTheme="minorEastAsia"/>
          <w:b/>
          <w:color w:val="ED7703"/>
        </w:rPr>
        <w:t>3</w:t>
      </w:r>
      <w:r>
        <w:rPr>
          <w:rFonts w:hint="eastAsia" w:asciiTheme="minorEastAsia" w:hAnsiTheme="minorEastAsia" w:eastAsiaTheme="minorEastAsia"/>
          <w:b/>
          <w:color w:val="ED7703"/>
        </w:rPr>
        <w:t>）韩国历史产业结构调整及股市行业变迁</w:t>
      </w:r>
    </w:p>
    <w:p>
      <w:pPr>
        <w:spacing w:line="360" w:lineRule="auto"/>
        <w:ind w:firstLine="480"/>
        <w:rPr>
          <w:rFonts w:asciiTheme="minorEastAsia" w:hAnsiTheme="minorEastAsia" w:eastAsiaTheme="minorEastAsia"/>
        </w:rPr>
      </w:pPr>
      <w:r>
        <w:rPr>
          <w:rFonts w:hint="eastAsia" w:asciiTheme="minorEastAsia" w:hAnsiTheme="minorEastAsia" w:eastAsiaTheme="minorEastAsia"/>
        </w:rPr>
        <w:t>韩国通过几个五年计划实现经济结构的转变，逐渐转变为工业主导国；1980年后，重工业经济拖累，经济增速放缓，促进其产业升级及加速对外开放。从韩国股市最新的行业权重分布可以看出其经济结构向科技驱动转变的趋势。</w:t>
      </w:r>
    </w:p>
    <w:p>
      <w:pPr>
        <w:spacing w:line="360" w:lineRule="auto"/>
      </w:pPr>
      <w:r>
        <w:drawing>
          <wp:inline distT="0" distB="0" distL="0" distR="0">
            <wp:extent cx="5274310" cy="2842895"/>
            <wp:effectExtent l="0" t="0" r="2540" b="0"/>
            <wp:docPr id="86" name="图片 86" descr="C:\Users\dingxm\Desktop\图表导出\38图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dingxm\Desktop\图表导出\38图5.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274310" cy="2843248"/>
                    </a:xfrm>
                    <a:prstGeom prst="rect">
                      <a:avLst/>
                    </a:prstGeom>
                    <a:noFill/>
                    <a:ln>
                      <a:noFill/>
                    </a:ln>
                  </pic:spPr>
                </pic:pic>
              </a:graphicData>
            </a:graphic>
          </wp:inline>
        </w:drawing>
      </w:r>
    </w:p>
    <w:p>
      <w:pPr>
        <w:spacing w:line="360" w:lineRule="auto"/>
        <w:ind w:firstLine="420" w:firstLineChars="200"/>
        <w:rPr>
          <w:rFonts w:asciiTheme="minorEastAsia" w:hAnsiTheme="minorEastAsia" w:eastAsiaTheme="minorEastAsia"/>
        </w:rPr>
      </w:pPr>
      <w:r>
        <w:rPr>
          <w:rFonts w:hint="eastAsia" w:asciiTheme="minorEastAsia" w:hAnsiTheme="minorEastAsia" w:eastAsiaTheme="minorEastAsia"/>
        </w:rPr>
        <w:t>美国、日本、韩国都有向科技主导发展的趋势，美国和日本均为科技和医药行业的市值占比明显提升。从</w:t>
      </w:r>
      <w:r>
        <w:rPr>
          <w:rFonts w:asciiTheme="minorEastAsia" w:hAnsiTheme="minorEastAsia" w:eastAsiaTheme="minorEastAsia"/>
        </w:rPr>
        <w:t>国际经验看，从制造业为主的经济体</w:t>
      </w:r>
      <w:r>
        <w:rPr>
          <w:rFonts w:hint="eastAsia" w:asciiTheme="minorEastAsia" w:hAnsiTheme="minorEastAsia" w:eastAsiaTheme="minorEastAsia"/>
        </w:rPr>
        <w:t>在寻求</w:t>
      </w:r>
      <w:r>
        <w:rPr>
          <w:rFonts w:asciiTheme="minorEastAsia" w:hAnsiTheme="minorEastAsia" w:eastAsiaTheme="minorEastAsia"/>
        </w:rPr>
        <w:t>经济转型升级时期，</w:t>
      </w:r>
      <w:r>
        <w:rPr>
          <w:rFonts w:hint="eastAsia" w:asciiTheme="minorEastAsia" w:hAnsiTheme="minorEastAsia" w:eastAsiaTheme="minorEastAsia"/>
        </w:rPr>
        <w:t>科技</w:t>
      </w:r>
      <w:r>
        <w:rPr>
          <w:rFonts w:asciiTheme="minorEastAsia" w:hAnsiTheme="minorEastAsia" w:eastAsiaTheme="minorEastAsia"/>
        </w:rPr>
        <w:t>和医药等创新行业的市值有明显提升的机会。</w:t>
      </w:r>
      <w:r>
        <w:rPr>
          <w:rFonts w:hint="eastAsia" w:cs="姹変华涓瓑绾跨畝" w:asciiTheme="minorEastAsia" w:hAnsiTheme="minorEastAsia" w:eastAsiaTheme="minorEastAsia"/>
        </w:rPr>
        <w:t>我国正处于从制造业大国寻找新动能的阶段，和日本70、80年代的转型、美国90年代的科技发展战略以及韩国21世纪初的产业发展阶段比较相近，对应的</w:t>
      </w:r>
      <w:r>
        <w:rPr>
          <w:rFonts w:hint="eastAsia" w:asciiTheme="minorEastAsia" w:hAnsiTheme="minorEastAsia" w:eastAsiaTheme="minorEastAsia"/>
        </w:rPr>
        <w:t>科技和医药行业或将处于较好的发展机遇期</w:t>
      </w:r>
      <w:r>
        <w:rPr>
          <w:rFonts w:hint="eastAsia" w:cs="姹変华涓瓑绾跨畝" w:asciiTheme="minorEastAsia" w:hAnsiTheme="minorEastAsia" w:eastAsiaTheme="minorEastAsia"/>
        </w:rPr>
        <w:t>，对应的权重集中于这两个方向的创业板指数也或将值得期待。</w:t>
      </w:r>
    </w:p>
    <w:p>
      <w:pPr>
        <w:pStyle w:val="3"/>
        <w:spacing w:line="240" w:lineRule="auto"/>
        <w:ind w:firstLine="422" w:firstLineChars="200"/>
        <w:rPr>
          <w:u w:val="single"/>
        </w:rPr>
      </w:pPr>
      <w:bookmarkStart w:id="32" w:name="_Toc41601907"/>
      <w:r>
        <w:rPr>
          <w:rFonts w:hint="eastAsia"/>
          <w:sz w:val="21"/>
          <w:szCs w:val="21"/>
          <w:u w:val="single"/>
        </w:rPr>
        <w:t>5.2创业板</w:t>
      </w:r>
      <w:r>
        <w:rPr>
          <w:sz w:val="21"/>
          <w:szCs w:val="21"/>
          <w:u w:val="single"/>
        </w:rPr>
        <w:t>指数的</w:t>
      </w:r>
      <w:r>
        <w:rPr>
          <w:rFonts w:hint="eastAsia"/>
          <w:sz w:val="21"/>
          <w:szCs w:val="21"/>
          <w:u w:val="single"/>
        </w:rPr>
        <w:t>未来</w:t>
      </w:r>
      <w:r>
        <w:rPr>
          <w:sz w:val="21"/>
          <w:szCs w:val="21"/>
          <w:u w:val="single"/>
        </w:rPr>
        <w:t>展望</w:t>
      </w:r>
      <w:r>
        <w:rPr>
          <w:rFonts w:hint="eastAsia"/>
          <w:sz w:val="21"/>
          <w:szCs w:val="21"/>
          <w:u w:val="single"/>
        </w:rPr>
        <w:t>及</w:t>
      </w:r>
      <w:r>
        <w:rPr>
          <w:sz w:val="21"/>
          <w:szCs w:val="21"/>
          <w:u w:val="single"/>
        </w:rPr>
        <w:t>投资</w:t>
      </w:r>
      <w:r>
        <w:rPr>
          <w:rFonts w:hint="eastAsia"/>
          <w:sz w:val="21"/>
          <w:szCs w:val="21"/>
          <w:u w:val="single"/>
        </w:rPr>
        <w:t>建议</w:t>
      </w:r>
      <w:bookmarkEnd w:id="32"/>
    </w:p>
    <w:p>
      <w:pPr>
        <w:spacing w:line="360" w:lineRule="auto"/>
        <w:ind w:firstLine="420" w:firstLineChars="200"/>
        <w:rPr>
          <w:rFonts w:asciiTheme="minorEastAsia" w:hAnsiTheme="minorEastAsia" w:eastAsiaTheme="minorEastAsia"/>
        </w:rPr>
      </w:pPr>
      <w:r>
        <w:rPr>
          <w:rFonts w:hint="eastAsia" w:cs="姹変华涓瓑绾跨畝" w:asciiTheme="minorEastAsia" w:hAnsiTheme="minorEastAsia" w:eastAsiaTheme="minorEastAsia"/>
        </w:rPr>
        <w:t>10年在</w:t>
      </w:r>
      <w:r>
        <w:rPr>
          <w:rFonts w:cs="姹変华涓瓑绾跨畝" w:asciiTheme="minorEastAsia" w:hAnsiTheme="minorEastAsia" w:eastAsiaTheme="minorEastAsia"/>
        </w:rPr>
        <w:t>整个资本市场</w:t>
      </w:r>
      <w:r>
        <w:rPr>
          <w:rFonts w:hint="eastAsia" w:cs="姹変华涓瓑绾跨畝" w:asciiTheme="minorEastAsia" w:hAnsiTheme="minorEastAsia" w:eastAsiaTheme="minorEastAsia"/>
        </w:rPr>
        <w:t>的发展历程中</w:t>
      </w:r>
      <w:r>
        <w:rPr>
          <w:rFonts w:cs="姹変华涓瓑绾跨畝" w:asciiTheme="minorEastAsia" w:hAnsiTheme="minorEastAsia" w:eastAsiaTheme="minorEastAsia"/>
        </w:rPr>
        <w:t>也许</w:t>
      </w:r>
      <w:r>
        <w:rPr>
          <w:rFonts w:hint="eastAsia" w:cs="姹変华涓瓑绾跨畝" w:asciiTheme="minorEastAsia" w:hAnsiTheme="minorEastAsia" w:eastAsiaTheme="minorEastAsia"/>
        </w:rPr>
        <w:t>只是弹指一挥间，但对于创业板指数来说，却是从稚嫩到成熟的关键发育期。时至今日，创业板指数已经出落成蓄势待发的少年，成为释放中国高新科技产业蓬勃内生动力不可或缺的存在。</w:t>
      </w:r>
      <w:r>
        <w:rPr>
          <w:rFonts w:hint="eastAsia" w:asciiTheme="minorEastAsia" w:hAnsiTheme="minorEastAsia" w:eastAsiaTheme="minorEastAsia"/>
        </w:rPr>
        <w:t>值得一提的是，从诞生至今，创业板一直在不断完善制度建设，优化自身双创“孵化器”角色。今年在创业板指数十周年之际</w:t>
      </w:r>
      <w:r>
        <w:rPr>
          <w:rFonts w:asciiTheme="minorEastAsia" w:hAnsiTheme="minorEastAsia" w:eastAsiaTheme="minorEastAsia"/>
        </w:rPr>
        <w:t>，</w:t>
      </w:r>
      <w:r>
        <w:rPr>
          <w:rFonts w:hint="eastAsia" w:asciiTheme="minorEastAsia" w:hAnsiTheme="minorEastAsia" w:eastAsiaTheme="minorEastAsia"/>
        </w:rPr>
        <w:t>也将</w:t>
      </w:r>
      <w:r>
        <w:rPr>
          <w:rFonts w:asciiTheme="minorEastAsia" w:hAnsiTheme="minorEastAsia" w:eastAsiaTheme="minorEastAsia"/>
        </w:rPr>
        <w:t>迎来</w:t>
      </w:r>
      <w:r>
        <w:rPr>
          <w:rFonts w:hint="eastAsia" w:asciiTheme="minorEastAsia" w:hAnsiTheme="minorEastAsia" w:eastAsiaTheme="minorEastAsia"/>
        </w:rPr>
        <w:t>创业板改革并试点注册制。</w:t>
      </w:r>
      <w:r>
        <w:rPr>
          <w:rFonts w:hint="eastAsia"/>
        </w:rPr>
        <w:t>这是一项全面系统的制度性改革，也是首次将增量与存量改革同步推进的资本市场重大改革，涉及发行、上市、信息披露、交易、退市等一系列基础性制度。此次改革增强了对创新创业企业的包容性，明确定位创业板主要服务成长型创新创业企业，支持传统产业与新技术、新产业、新业态、新模式深度融合。对进一步优化市场功能，提升市场活跃度，增强创业板服务能力，打造规范、透明、开放、有活力、有韧性的资本市场具有重要意义。资本市场改革发展迎来新契机。</w:t>
      </w:r>
    </w:p>
    <w:p>
      <w:pPr>
        <w:spacing w:line="360" w:lineRule="auto"/>
        <w:ind w:firstLine="465"/>
        <w:rPr>
          <w:rFonts w:asciiTheme="minorEastAsia" w:hAnsiTheme="minorEastAsia" w:eastAsiaTheme="minorEastAsia"/>
        </w:rPr>
      </w:pPr>
      <w:r>
        <w:rPr>
          <w:rFonts w:hint="eastAsia" w:asciiTheme="minorEastAsia" w:hAnsiTheme="minorEastAsia" w:eastAsiaTheme="minorEastAsia"/>
        </w:rPr>
        <w:t>从长远来看，下一个10年，创业板市场和创业板指数的蓬勃发展未来可期。那么</w:t>
      </w:r>
      <w:r>
        <w:rPr>
          <w:rFonts w:asciiTheme="minorEastAsia" w:hAnsiTheme="minorEastAsia" w:eastAsiaTheme="minorEastAsia"/>
        </w:rPr>
        <w:t>作为普通投资者，该如何借助创业板指数投资呢？</w:t>
      </w:r>
      <w:r>
        <w:rPr>
          <w:rFonts w:hint="eastAsia" w:asciiTheme="minorEastAsia" w:hAnsiTheme="minorEastAsia" w:eastAsiaTheme="minorEastAsia"/>
        </w:rPr>
        <w:t>我们</w:t>
      </w:r>
      <w:r>
        <w:rPr>
          <w:rFonts w:asciiTheme="minorEastAsia" w:hAnsiTheme="minorEastAsia" w:eastAsiaTheme="minorEastAsia"/>
        </w:rPr>
        <w:t>建议如下</w:t>
      </w:r>
      <w:r>
        <w:rPr>
          <w:rFonts w:hint="eastAsia" w:asciiTheme="minorEastAsia" w:hAnsiTheme="minorEastAsia" w:eastAsiaTheme="minorEastAsia"/>
        </w:rPr>
        <w:t>。</w:t>
      </w:r>
    </w:p>
    <w:p>
      <w:pPr>
        <w:pStyle w:val="4"/>
        <w:spacing w:line="240" w:lineRule="auto"/>
        <w:rPr>
          <w:color w:val="ED7703"/>
          <w:sz w:val="21"/>
          <w:szCs w:val="21"/>
          <w:lang w:val="en"/>
        </w:rPr>
      </w:pPr>
      <w:bookmarkStart w:id="33" w:name="_Toc41601908"/>
      <w:bookmarkStart w:id="34" w:name="_Toc41123423"/>
      <w:bookmarkStart w:id="35" w:name="_Toc41165340"/>
      <w:r>
        <w:rPr>
          <w:rFonts w:hint="eastAsia"/>
          <w:color w:val="ED7703"/>
          <w:sz w:val="21"/>
          <w:szCs w:val="21"/>
          <w:lang w:val="en"/>
        </w:rPr>
        <w:t>（1</w:t>
      </w:r>
      <w:r>
        <w:rPr>
          <w:color w:val="ED7703"/>
          <w:sz w:val="21"/>
          <w:szCs w:val="21"/>
          <w:lang w:val="en"/>
        </w:rPr>
        <w:t>）</w:t>
      </w:r>
      <w:r>
        <w:rPr>
          <w:rFonts w:hint="eastAsia"/>
          <w:color w:val="ED7703"/>
          <w:sz w:val="21"/>
          <w:szCs w:val="21"/>
          <w:lang w:val="en"/>
        </w:rPr>
        <w:t>创业板</w:t>
      </w:r>
      <w:r>
        <w:rPr>
          <w:color w:val="ED7703"/>
          <w:sz w:val="21"/>
          <w:szCs w:val="21"/>
          <w:lang w:val="en"/>
        </w:rPr>
        <w:t>指数具备中长期投资及配置价值</w:t>
      </w:r>
      <w:bookmarkEnd w:id="33"/>
      <w:bookmarkEnd w:id="34"/>
      <w:bookmarkEnd w:id="35"/>
    </w:p>
    <w:p>
      <w:pPr>
        <w:spacing w:line="360" w:lineRule="auto"/>
        <w:ind w:firstLine="420" w:firstLineChars="200"/>
        <w:rPr>
          <w:rFonts w:asciiTheme="minorEastAsia" w:hAnsiTheme="minorEastAsia" w:eastAsiaTheme="minorEastAsia"/>
        </w:rPr>
      </w:pPr>
      <w:r>
        <w:rPr>
          <w:rFonts w:hint="eastAsia" w:asciiTheme="minorEastAsia" w:hAnsiTheme="minorEastAsia" w:eastAsiaTheme="minorEastAsia"/>
        </w:rPr>
        <w:t>作为</w:t>
      </w:r>
      <w:r>
        <w:rPr>
          <w:rFonts w:asciiTheme="minorEastAsia" w:hAnsiTheme="minorEastAsia" w:eastAsiaTheme="minorEastAsia"/>
        </w:rPr>
        <w:t>中国新兴行业公司上市的主要市场之一，创业板市场是中国新经济高地，具备中长期投资及配置价值</w:t>
      </w:r>
      <w:r>
        <w:rPr>
          <w:rFonts w:hint="eastAsia" w:asciiTheme="minorEastAsia" w:hAnsiTheme="minorEastAsia" w:eastAsiaTheme="minorEastAsia"/>
        </w:rPr>
        <w:t>。但需要</w:t>
      </w:r>
      <w:r>
        <w:rPr>
          <w:rFonts w:asciiTheme="minorEastAsia" w:hAnsiTheme="minorEastAsia" w:eastAsiaTheme="minorEastAsia"/>
        </w:rPr>
        <w:t>正确</w:t>
      </w:r>
      <w:r>
        <w:rPr>
          <w:rFonts w:hint="eastAsia" w:asciiTheme="minorEastAsia" w:hAnsiTheme="minorEastAsia" w:eastAsiaTheme="minorEastAsia"/>
        </w:rPr>
        <w:t>认识</w:t>
      </w:r>
      <w:r>
        <w:rPr>
          <w:rFonts w:asciiTheme="minorEastAsia" w:hAnsiTheme="minorEastAsia" w:eastAsiaTheme="minorEastAsia"/>
        </w:rPr>
        <w:t>高弹性指数</w:t>
      </w:r>
      <w:r>
        <w:rPr>
          <w:rFonts w:hint="eastAsia" w:asciiTheme="minorEastAsia" w:hAnsiTheme="minorEastAsia" w:eastAsiaTheme="minorEastAsia"/>
        </w:rPr>
        <w:t>风险</w:t>
      </w:r>
      <w:r>
        <w:rPr>
          <w:rFonts w:asciiTheme="minorEastAsia" w:hAnsiTheme="minorEastAsia" w:eastAsiaTheme="minorEastAsia"/>
        </w:rPr>
        <w:t>与机会并存的特征</w:t>
      </w:r>
      <w:r>
        <w:rPr>
          <w:rFonts w:hint="eastAsia" w:asciiTheme="minorEastAsia" w:hAnsiTheme="minorEastAsia" w:eastAsiaTheme="minorEastAsia"/>
        </w:rPr>
        <w:t>。以纳斯达克100指数为例，前5大样本股市值占比50%，前10大成份股市值占比63%。这些伟大企业成功的背后是无数小企业的失败，可谓“一将功成万骨枯”，而普通投资者很难从成千上万的高新</w:t>
      </w:r>
      <w:r>
        <w:rPr>
          <w:rFonts w:asciiTheme="minorEastAsia" w:hAnsiTheme="minorEastAsia" w:eastAsiaTheme="minorEastAsia"/>
        </w:rPr>
        <w:t>技术</w:t>
      </w:r>
      <w:r>
        <w:rPr>
          <w:rFonts w:hint="eastAsia" w:asciiTheme="minorEastAsia" w:hAnsiTheme="minorEastAsia" w:eastAsiaTheme="minorEastAsia"/>
        </w:rPr>
        <w:t>公司中找到那些少数“走出来”的公司。采取指数化投资有利于与这些伟大公司的一起成长，</w:t>
      </w:r>
      <w:r>
        <w:rPr>
          <w:rFonts w:asciiTheme="minorEastAsia" w:hAnsiTheme="minorEastAsia" w:eastAsiaTheme="minorEastAsia"/>
        </w:rPr>
        <w:t>创业板指数</w:t>
      </w:r>
      <w:r>
        <w:rPr>
          <w:rFonts w:hint="eastAsia" w:asciiTheme="minorEastAsia" w:hAnsiTheme="minorEastAsia" w:eastAsiaTheme="minorEastAsia"/>
        </w:rPr>
        <w:t>除旧纳新的机制有效</w:t>
      </w:r>
      <w:r>
        <w:rPr>
          <w:rFonts w:asciiTheme="minorEastAsia" w:hAnsiTheme="minorEastAsia" w:eastAsiaTheme="minorEastAsia"/>
        </w:rPr>
        <w:t>保障了</w:t>
      </w:r>
      <w:r>
        <w:rPr>
          <w:rFonts w:hint="eastAsia" w:asciiTheme="minorEastAsia" w:hAnsiTheme="minorEastAsia" w:eastAsiaTheme="minorEastAsia"/>
        </w:rPr>
        <w:t>优胜劣汰，分享</w:t>
      </w:r>
      <w:r>
        <w:rPr>
          <w:rFonts w:asciiTheme="minorEastAsia" w:hAnsiTheme="minorEastAsia" w:eastAsiaTheme="minorEastAsia"/>
        </w:rPr>
        <w:t>创业板中最具代表性</w:t>
      </w:r>
      <w:r>
        <w:rPr>
          <w:rFonts w:hint="eastAsia" w:asciiTheme="minorEastAsia" w:hAnsiTheme="minorEastAsia" w:eastAsiaTheme="minorEastAsia"/>
        </w:rPr>
        <w:t>、</w:t>
      </w:r>
      <w:r>
        <w:rPr>
          <w:rFonts w:asciiTheme="minorEastAsia" w:hAnsiTheme="minorEastAsia" w:eastAsiaTheme="minorEastAsia"/>
        </w:rPr>
        <w:t>市值较大、流动性较好的</w:t>
      </w:r>
      <w:r>
        <w:rPr>
          <w:rFonts w:hint="eastAsia" w:asciiTheme="minorEastAsia" w:hAnsiTheme="minorEastAsia" w:eastAsiaTheme="minorEastAsia"/>
        </w:rPr>
        <w:t>100只股票</w:t>
      </w:r>
      <w:r>
        <w:rPr>
          <w:rFonts w:asciiTheme="minorEastAsia" w:hAnsiTheme="minorEastAsia" w:eastAsiaTheme="minorEastAsia"/>
        </w:rPr>
        <w:t>的投资机会，具备中长期投资及配置价值</w:t>
      </w:r>
      <w:r>
        <w:rPr>
          <w:rFonts w:hint="eastAsia" w:asciiTheme="minorEastAsia" w:hAnsiTheme="minorEastAsia" w:eastAsiaTheme="minorEastAsia"/>
        </w:rPr>
        <w:t>。</w:t>
      </w:r>
    </w:p>
    <w:p>
      <w:pPr>
        <w:pStyle w:val="4"/>
        <w:spacing w:line="240" w:lineRule="auto"/>
        <w:rPr>
          <w:color w:val="ED7703"/>
          <w:sz w:val="21"/>
          <w:szCs w:val="21"/>
          <w:lang w:val="en"/>
        </w:rPr>
      </w:pPr>
      <w:bookmarkStart w:id="36" w:name="_Toc41165341"/>
      <w:bookmarkStart w:id="37" w:name="_Toc41123424"/>
      <w:bookmarkStart w:id="38" w:name="_Toc41601909"/>
      <w:r>
        <w:rPr>
          <w:rFonts w:hint="eastAsia"/>
          <w:color w:val="ED7703"/>
          <w:sz w:val="21"/>
          <w:szCs w:val="21"/>
          <w:lang w:val="en"/>
        </w:rPr>
        <w:t>（2</w:t>
      </w:r>
      <w:r>
        <w:rPr>
          <w:color w:val="ED7703"/>
          <w:sz w:val="21"/>
          <w:szCs w:val="21"/>
          <w:lang w:val="en"/>
        </w:rPr>
        <w:t>）</w:t>
      </w:r>
      <w:r>
        <w:rPr>
          <w:rFonts w:hint="eastAsia"/>
          <w:color w:val="ED7703"/>
          <w:sz w:val="21"/>
          <w:szCs w:val="21"/>
          <w:lang w:val="en"/>
        </w:rPr>
        <w:t>ETF等</w:t>
      </w:r>
      <w:r>
        <w:rPr>
          <w:color w:val="ED7703"/>
          <w:sz w:val="21"/>
          <w:szCs w:val="21"/>
          <w:lang w:val="en"/>
        </w:rPr>
        <w:t>工具化产品</w:t>
      </w:r>
      <w:r>
        <w:rPr>
          <w:rFonts w:hint="eastAsia"/>
          <w:color w:val="ED7703"/>
          <w:sz w:val="21"/>
          <w:szCs w:val="21"/>
          <w:lang w:val="en"/>
        </w:rPr>
        <w:t>或为</w:t>
      </w:r>
      <w:r>
        <w:rPr>
          <w:color w:val="ED7703"/>
          <w:sz w:val="21"/>
          <w:szCs w:val="21"/>
          <w:lang w:val="en"/>
        </w:rPr>
        <w:t>较好选择</w:t>
      </w:r>
      <w:bookmarkEnd w:id="36"/>
      <w:bookmarkEnd w:id="37"/>
      <w:bookmarkEnd w:id="38"/>
    </w:p>
    <w:p>
      <w:pPr>
        <w:spacing w:line="360" w:lineRule="auto"/>
        <w:ind w:firstLine="420" w:firstLineChars="200"/>
        <w:rPr>
          <w:rFonts w:asciiTheme="minorEastAsia" w:hAnsiTheme="minorEastAsia" w:eastAsiaTheme="minorEastAsia"/>
        </w:rPr>
      </w:pPr>
      <w:r>
        <w:rPr>
          <w:rFonts w:asciiTheme="minorEastAsia" w:hAnsiTheme="minorEastAsia" w:eastAsiaTheme="minorEastAsia"/>
        </w:rPr>
        <w:t>普通投资者可通过投资相关指数基金如</w:t>
      </w:r>
      <w:r>
        <w:rPr>
          <w:rFonts w:hint="eastAsia" w:asciiTheme="minorEastAsia" w:hAnsiTheme="minorEastAsia" w:eastAsiaTheme="minorEastAsia"/>
        </w:rPr>
        <w:t>传统</w:t>
      </w:r>
      <w:r>
        <w:rPr>
          <w:rFonts w:asciiTheme="minorEastAsia" w:hAnsiTheme="minorEastAsia" w:eastAsiaTheme="minorEastAsia"/>
        </w:rPr>
        <w:t>指数基金</w:t>
      </w:r>
      <w:r>
        <w:rPr>
          <w:rFonts w:hint="eastAsia" w:asciiTheme="minorEastAsia" w:hAnsiTheme="minorEastAsia" w:eastAsiaTheme="minorEastAsia"/>
        </w:rPr>
        <w:t>、ETF、ETF联接基金等方式</w:t>
      </w:r>
      <w:r>
        <w:rPr>
          <w:rFonts w:asciiTheme="minorEastAsia" w:hAnsiTheme="minorEastAsia" w:eastAsiaTheme="minorEastAsia"/>
        </w:rPr>
        <w:t>分享创业板市场成长红利，并达到分散投资的效果</w:t>
      </w:r>
      <w:r>
        <w:rPr>
          <w:rFonts w:hint="eastAsia" w:asciiTheme="minorEastAsia" w:hAnsiTheme="minorEastAsia" w:eastAsiaTheme="minorEastAsia"/>
        </w:rPr>
        <w:t>。创业板是高弹性和成长性的板块，其承载的成长型创新、创业企业天然具有高风险与</w:t>
      </w:r>
      <w:r>
        <w:rPr>
          <w:rFonts w:asciiTheme="minorEastAsia" w:hAnsiTheme="minorEastAsia" w:eastAsiaTheme="minorEastAsia"/>
        </w:rPr>
        <w:t>高收益并存的</w:t>
      </w:r>
      <w:r>
        <w:rPr>
          <w:rFonts w:hint="eastAsia" w:asciiTheme="minorEastAsia" w:hAnsiTheme="minorEastAsia" w:eastAsiaTheme="minorEastAsia"/>
        </w:rPr>
        <w:t>特征，对投资者提出了相当高的要求。对普通投资者而言，买入相关基金进行指数化投资、获取市场平均收益无疑成为较好选择。其中</w:t>
      </w:r>
      <w:r>
        <w:rPr>
          <w:rFonts w:asciiTheme="minorEastAsia" w:hAnsiTheme="minorEastAsia" w:eastAsiaTheme="minorEastAsia"/>
        </w:rPr>
        <w:t>，</w:t>
      </w:r>
      <w:r>
        <w:rPr>
          <w:rFonts w:hint="eastAsia" w:asciiTheme="minorEastAsia" w:hAnsiTheme="minorEastAsia" w:eastAsiaTheme="minorEastAsia"/>
        </w:rPr>
        <w:t>ETF产品以其低费率、透明化、交易效率较高等优势，越来越成为聪明投资者青睐的工具型产品。E</w:t>
      </w:r>
      <w:r>
        <w:rPr>
          <w:rFonts w:asciiTheme="minorEastAsia" w:hAnsiTheme="minorEastAsia" w:eastAsiaTheme="minorEastAsia"/>
        </w:rPr>
        <w:t>TF既能像基金一样申购和赎回</w:t>
      </w:r>
      <w:r>
        <w:rPr>
          <w:rFonts w:hint="eastAsia" w:asciiTheme="minorEastAsia" w:hAnsiTheme="minorEastAsia" w:eastAsiaTheme="minorEastAsia"/>
        </w:rPr>
        <w:t>，</w:t>
      </w:r>
      <w:r>
        <w:rPr>
          <w:rFonts w:asciiTheme="minorEastAsia" w:hAnsiTheme="minorEastAsia" w:eastAsiaTheme="minorEastAsia"/>
        </w:rPr>
        <w:t>也能像证券一样在交易所交易</w:t>
      </w:r>
      <w:r>
        <w:rPr>
          <w:rFonts w:hint="eastAsia" w:asciiTheme="minorEastAsia" w:hAnsiTheme="minorEastAsia" w:eastAsiaTheme="minorEastAsia"/>
        </w:rPr>
        <w:t>，</w:t>
      </w:r>
      <w:r>
        <w:rPr>
          <w:rFonts w:asciiTheme="minorEastAsia" w:hAnsiTheme="minorEastAsia" w:eastAsiaTheme="minorEastAsia"/>
        </w:rPr>
        <w:t>在一级市场实物申购赎回</w:t>
      </w:r>
      <w:r>
        <w:rPr>
          <w:rFonts w:hint="eastAsia" w:asciiTheme="minorEastAsia" w:hAnsiTheme="minorEastAsia" w:eastAsiaTheme="minorEastAsia"/>
        </w:rPr>
        <w:t>，</w:t>
      </w:r>
      <w:r>
        <w:rPr>
          <w:rFonts w:asciiTheme="minorEastAsia" w:hAnsiTheme="minorEastAsia" w:eastAsiaTheme="minorEastAsia"/>
        </w:rPr>
        <w:t>在二级市场用现金买卖</w:t>
      </w:r>
      <w:r>
        <w:rPr>
          <w:rFonts w:hint="eastAsia" w:asciiTheme="minorEastAsia" w:hAnsiTheme="minorEastAsia" w:eastAsiaTheme="minorEastAsia"/>
        </w:rPr>
        <w:t>。</w:t>
      </w:r>
      <w:r>
        <w:rPr>
          <w:rFonts w:asciiTheme="minorEastAsia" w:hAnsiTheme="minorEastAsia" w:eastAsiaTheme="minorEastAsia"/>
        </w:rPr>
        <w:t>ETF</w:t>
      </w:r>
      <w:r>
        <w:rPr>
          <w:rFonts w:hint="eastAsia" w:asciiTheme="minorEastAsia" w:hAnsiTheme="minorEastAsia" w:eastAsiaTheme="minorEastAsia"/>
        </w:rPr>
        <w:t>具有四大</w:t>
      </w:r>
      <w:r>
        <w:rPr>
          <w:rFonts w:asciiTheme="minorEastAsia" w:hAnsiTheme="minorEastAsia" w:eastAsiaTheme="minorEastAsia"/>
        </w:rPr>
        <w:t>优势：（</w:t>
      </w:r>
      <w:r>
        <w:rPr>
          <w:rFonts w:hint="eastAsia" w:asciiTheme="minorEastAsia" w:hAnsiTheme="minorEastAsia" w:eastAsiaTheme="minorEastAsia"/>
        </w:rPr>
        <w:t>1</w:t>
      </w:r>
      <w:r>
        <w:rPr>
          <w:rFonts w:asciiTheme="minorEastAsia" w:hAnsiTheme="minorEastAsia" w:eastAsiaTheme="minorEastAsia"/>
        </w:rPr>
        <w:t>）成本低廉</w:t>
      </w:r>
      <w:r>
        <w:rPr>
          <w:rFonts w:hint="eastAsia" w:asciiTheme="minorEastAsia" w:hAnsiTheme="minorEastAsia" w:eastAsiaTheme="minorEastAsia"/>
        </w:rPr>
        <w:t>：管理费率通常为普通开放式基金的1/3，交易费率：相较于股票，ETF少付0.1%的印花税；相较于传统指数基金，ETF交易费用更低。（2）</w:t>
      </w:r>
      <w:r>
        <w:rPr>
          <w:rFonts w:asciiTheme="minorEastAsia" w:hAnsiTheme="minorEastAsia" w:eastAsiaTheme="minorEastAsia"/>
        </w:rPr>
        <w:t>风险分散</w:t>
      </w:r>
      <w:r>
        <w:rPr>
          <w:rFonts w:hint="eastAsia" w:asciiTheme="minorEastAsia" w:hAnsiTheme="minorEastAsia" w:eastAsiaTheme="minorEastAsia"/>
        </w:rPr>
        <w:t>：ETF投资一篮子股票，提供多样化的投资组合，解决选股难题。（3</w:t>
      </w:r>
      <w:r>
        <w:rPr>
          <w:rFonts w:asciiTheme="minorEastAsia" w:hAnsiTheme="minorEastAsia" w:eastAsiaTheme="minorEastAsia"/>
        </w:rPr>
        <w:t>）交易迅速</w:t>
      </w:r>
      <w:r>
        <w:rPr>
          <w:rFonts w:hint="eastAsia" w:asciiTheme="minorEastAsia" w:hAnsiTheme="minorEastAsia" w:eastAsiaTheme="minorEastAsia"/>
        </w:rPr>
        <w:t>：交易效率高：部分可T+0，到账时间短：卖出ETF份额资金当日可用，第二日可取。</w:t>
      </w:r>
      <w:r>
        <w:rPr>
          <w:rFonts w:asciiTheme="minorEastAsia" w:hAnsiTheme="minorEastAsia" w:eastAsiaTheme="minorEastAsia"/>
        </w:rPr>
        <w:t>（</w:t>
      </w:r>
      <w:r>
        <w:rPr>
          <w:rFonts w:hint="eastAsia" w:asciiTheme="minorEastAsia" w:hAnsiTheme="minorEastAsia" w:eastAsiaTheme="minorEastAsia"/>
        </w:rPr>
        <w:t>4）</w:t>
      </w:r>
      <w:r>
        <w:rPr>
          <w:rFonts w:asciiTheme="minorEastAsia" w:hAnsiTheme="minorEastAsia" w:eastAsiaTheme="minorEastAsia"/>
        </w:rPr>
        <w:t>操作透明</w:t>
      </w:r>
      <w:r>
        <w:rPr>
          <w:rFonts w:hint="eastAsia" w:asciiTheme="minorEastAsia" w:hAnsiTheme="minorEastAsia" w:eastAsiaTheme="minorEastAsia"/>
        </w:rPr>
        <w:t>：运作透明，不因申赎影响收益。</w:t>
      </w:r>
    </w:p>
    <w:p>
      <w:pPr>
        <w:pStyle w:val="4"/>
        <w:spacing w:line="240" w:lineRule="auto"/>
        <w:rPr>
          <w:color w:val="ED7703"/>
          <w:sz w:val="21"/>
          <w:szCs w:val="21"/>
          <w:lang w:val="en"/>
        </w:rPr>
      </w:pPr>
      <w:bookmarkStart w:id="39" w:name="_Toc41601910"/>
      <w:bookmarkStart w:id="40" w:name="_Toc41123425"/>
      <w:bookmarkStart w:id="41" w:name="_Toc41165342"/>
      <w:r>
        <w:rPr>
          <w:rFonts w:hint="eastAsia"/>
          <w:color w:val="ED7703"/>
          <w:sz w:val="21"/>
          <w:szCs w:val="21"/>
          <w:lang w:val="en"/>
        </w:rPr>
        <w:t>（3</w:t>
      </w:r>
      <w:r>
        <w:rPr>
          <w:color w:val="ED7703"/>
          <w:sz w:val="21"/>
          <w:szCs w:val="21"/>
          <w:lang w:val="en"/>
        </w:rPr>
        <w:t>）</w:t>
      </w:r>
      <w:r>
        <w:rPr>
          <w:rFonts w:hint="eastAsia"/>
          <w:color w:val="ED7703"/>
          <w:sz w:val="21"/>
          <w:szCs w:val="21"/>
          <w:lang w:val="en"/>
        </w:rPr>
        <w:t>合理</w:t>
      </w:r>
      <w:r>
        <w:rPr>
          <w:color w:val="ED7703"/>
          <w:sz w:val="21"/>
          <w:szCs w:val="21"/>
          <w:lang w:val="en"/>
        </w:rPr>
        <w:t>估值水平下</w:t>
      </w:r>
      <w:r>
        <w:rPr>
          <w:rFonts w:hint="eastAsia"/>
          <w:color w:val="ED7703"/>
          <w:sz w:val="21"/>
          <w:szCs w:val="21"/>
          <w:lang w:val="en"/>
        </w:rPr>
        <w:t>通过</w:t>
      </w:r>
      <w:r>
        <w:rPr>
          <w:color w:val="ED7703"/>
          <w:sz w:val="21"/>
          <w:szCs w:val="21"/>
          <w:lang w:val="en"/>
        </w:rPr>
        <w:t>定投逐步</w:t>
      </w:r>
      <w:r>
        <w:rPr>
          <w:rFonts w:hint="eastAsia"/>
          <w:color w:val="ED7703"/>
          <w:sz w:val="21"/>
          <w:szCs w:val="21"/>
          <w:lang w:val="en"/>
        </w:rPr>
        <w:t>建</w:t>
      </w:r>
      <w:r>
        <w:rPr>
          <w:color w:val="ED7703"/>
          <w:sz w:val="21"/>
          <w:szCs w:val="21"/>
          <w:lang w:val="en"/>
        </w:rPr>
        <w:t>仓</w:t>
      </w:r>
      <w:bookmarkEnd w:id="39"/>
      <w:bookmarkEnd w:id="40"/>
      <w:bookmarkEnd w:id="41"/>
    </w:p>
    <w:p>
      <w:pPr>
        <w:widowControl w:val="0"/>
        <w:spacing w:line="360" w:lineRule="auto"/>
        <w:ind w:firstLine="420" w:firstLineChars="200"/>
        <w:rPr>
          <w:rFonts w:asciiTheme="minorEastAsia" w:hAnsiTheme="minorEastAsia" w:eastAsiaTheme="minorEastAsia"/>
        </w:rPr>
      </w:pPr>
      <w:r>
        <w:rPr>
          <w:rFonts w:asciiTheme="minorEastAsia" w:hAnsiTheme="minorEastAsia" w:eastAsiaTheme="minorEastAsia"/>
        </w:rPr>
        <w:t>创业板市场相对于蓝筹市场具有高成长、高波动的特点，为平滑持有成本，减小极端回撤，可在合理估值水平通过定期定额投资等方式逐步建仓</w:t>
      </w:r>
      <w:r>
        <w:rPr>
          <w:rFonts w:hint="eastAsia" w:asciiTheme="minorEastAsia" w:hAnsiTheme="minorEastAsia" w:eastAsiaTheme="minorEastAsia"/>
        </w:rPr>
        <w:t>。</w:t>
      </w:r>
    </w:p>
    <w:p>
      <w:pPr>
        <w:pStyle w:val="4"/>
        <w:spacing w:line="240" w:lineRule="auto"/>
        <w:rPr>
          <w:color w:val="ED7703"/>
          <w:sz w:val="21"/>
          <w:szCs w:val="21"/>
          <w:lang w:val="en"/>
        </w:rPr>
      </w:pPr>
      <w:bookmarkStart w:id="42" w:name="_Toc41165343"/>
      <w:bookmarkStart w:id="43" w:name="_Toc41123426"/>
      <w:bookmarkStart w:id="44" w:name="_Toc41601911"/>
      <w:r>
        <w:rPr>
          <w:rFonts w:hint="eastAsia"/>
          <w:color w:val="ED7703"/>
          <w:sz w:val="21"/>
          <w:szCs w:val="21"/>
          <w:lang w:val="en"/>
        </w:rPr>
        <w:t>（4）</w:t>
      </w:r>
      <w:r>
        <w:rPr>
          <w:color w:val="ED7703"/>
          <w:sz w:val="21"/>
          <w:szCs w:val="21"/>
          <w:lang w:val="en"/>
        </w:rPr>
        <w:t>制定合理投资目标和止盈</w:t>
      </w:r>
      <w:r>
        <w:rPr>
          <w:rFonts w:hint="eastAsia"/>
          <w:color w:val="ED7703"/>
          <w:sz w:val="21"/>
          <w:szCs w:val="21"/>
          <w:lang w:val="en"/>
        </w:rPr>
        <w:t>止</w:t>
      </w:r>
      <w:r>
        <w:rPr>
          <w:color w:val="ED7703"/>
          <w:sz w:val="21"/>
          <w:szCs w:val="21"/>
          <w:lang w:val="en"/>
        </w:rPr>
        <w:t>损策略</w:t>
      </w:r>
      <w:bookmarkEnd w:id="42"/>
      <w:bookmarkEnd w:id="43"/>
      <w:bookmarkEnd w:id="44"/>
    </w:p>
    <w:p>
      <w:pPr>
        <w:widowControl w:val="0"/>
        <w:spacing w:line="360" w:lineRule="auto"/>
        <w:ind w:firstLine="420" w:firstLineChars="200"/>
        <w:rPr>
          <w:rFonts w:asciiTheme="minorEastAsia" w:hAnsiTheme="minorEastAsia" w:eastAsiaTheme="minorEastAsia"/>
        </w:rPr>
      </w:pPr>
      <w:r>
        <w:rPr>
          <w:rFonts w:asciiTheme="minorEastAsia" w:hAnsiTheme="minorEastAsia" w:eastAsiaTheme="minorEastAsia"/>
        </w:rPr>
        <w:t>投资者应秉承理性投资理念，关注板块整体估值与业绩的匹配程度，制定合理投资目标</w:t>
      </w:r>
      <w:r>
        <w:rPr>
          <w:rFonts w:hint="eastAsia" w:asciiTheme="minorEastAsia" w:hAnsiTheme="minorEastAsia" w:eastAsiaTheme="minorEastAsia"/>
        </w:rPr>
        <w:t>，</w:t>
      </w:r>
      <w:r>
        <w:rPr>
          <w:rFonts w:asciiTheme="minorEastAsia" w:hAnsiTheme="minorEastAsia" w:eastAsiaTheme="minorEastAsia"/>
        </w:rPr>
        <w:t>以及相应止</w:t>
      </w:r>
      <w:r>
        <w:rPr>
          <w:rFonts w:hint="eastAsia" w:asciiTheme="minorEastAsia" w:hAnsiTheme="minorEastAsia" w:eastAsiaTheme="minorEastAsia"/>
        </w:rPr>
        <w:t>盈止</w:t>
      </w:r>
      <w:r>
        <w:rPr>
          <w:rFonts w:asciiTheme="minorEastAsia" w:hAnsiTheme="minorEastAsia" w:eastAsiaTheme="minorEastAsia"/>
        </w:rPr>
        <w:t>损策略</w:t>
      </w:r>
      <w:r>
        <w:rPr>
          <w:rFonts w:hint="eastAsia" w:asciiTheme="minorEastAsia" w:hAnsiTheme="minorEastAsia" w:eastAsiaTheme="minorEastAsia"/>
        </w:rPr>
        <w:t>。</w:t>
      </w:r>
    </w:p>
    <w:p>
      <w:pPr>
        <w:pStyle w:val="4"/>
        <w:spacing w:line="240" w:lineRule="auto"/>
        <w:rPr>
          <w:color w:val="ED7703"/>
          <w:sz w:val="21"/>
          <w:szCs w:val="21"/>
          <w:lang w:val="en"/>
        </w:rPr>
      </w:pPr>
      <w:bookmarkStart w:id="45" w:name="_Toc41601912"/>
      <w:bookmarkStart w:id="46" w:name="_Toc41123427"/>
      <w:bookmarkStart w:id="47" w:name="_Toc41165344"/>
      <w:r>
        <w:rPr>
          <w:rFonts w:hint="eastAsia"/>
          <w:color w:val="ED7703"/>
          <w:sz w:val="21"/>
          <w:szCs w:val="21"/>
          <w:lang w:val="en"/>
        </w:rPr>
        <w:t>（5</w:t>
      </w:r>
      <w:r>
        <w:rPr>
          <w:color w:val="ED7703"/>
          <w:sz w:val="21"/>
          <w:szCs w:val="21"/>
          <w:lang w:val="en"/>
        </w:rPr>
        <w:t>）</w:t>
      </w:r>
      <w:r>
        <w:rPr>
          <w:rFonts w:hint="eastAsia"/>
          <w:color w:val="ED7703"/>
          <w:sz w:val="21"/>
          <w:szCs w:val="21"/>
          <w:lang w:val="en"/>
        </w:rPr>
        <w:t>综合</w:t>
      </w:r>
      <w:r>
        <w:rPr>
          <w:color w:val="ED7703"/>
          <w:sz w:val="21"/>
          <w:szCs w:val="21"/>
          <w:lang w:val="en"/>
        </w:rPr>
        <w:t>决策关注风险警示</w:t>
      </w:r>
      <w:bookmarkEnd w:id="45"/>
      <w:bookmarkEnd w:id="46"/>
      <w:bookmarkEnd w:id="47"/>
    </w:p>
    <w:p>
      <w:pPr>
        <w:widowControl w:val="0"/>
        <w:spacing w:line="360" w:lineRule="auto"/>
        <w:ind w:firstLine="420" w:firstLineChars="200"/>
        <w:rPr>
          <w:rFonts w:asciiTheme="minorEastAsia" w:hAnsiTheme="minorEastAsia" w:eastAsiaTheme="minorEastAsia"/>
        </w:rPr>
      </w:pPr>
      <w:r>
        <w:rPr>
          <w:rFonts w:asciiTheme="minorEastAsia" w:hAnsiTheme="minorEastAsia" w:eastAsiaTheme="minorEastAsia"/>
        </w:rPr>
        <w:t>若投资者投资创业板个股，可通过对行业发展前景、公司经营业绩、股票估值水平等多个因素综合考虑后进行决策，并关注相关风险警示</w:t>
      </w:r>
      <w:r>
        <w:rPr>
          <w:rFonts w:hint="eastAsia" w:asciiTheme="minorEastAsia" w:hAnsiTheme="minorEastAsia" w:eastAsiaTheme="minorEastAsia"/>
        </w:rPr>
        <w:t>。</w:t>
      </w:r>
    </w:p>
    <w:p>
      <w:pPr>
        <w:spacing w:line="360" w:lineRule="auto"/>
        <w:ind w:firstLine="420" w:firstLineChars="200"/>
        <w:rPr>
          <w:rFonts w:asciiTheme="minorEastAsia" w:hAnsiTheme="minorEastAsia" w:eastAsiaTheme="minorEastAsia"/>
        </w:rPr>
      </w:pPr>
    </w:p>
    <w:p>
      <w:pPr>
        <w:spacing w:line="360" w:lineRule="auto"/>
        <w:ind w:firstLine="420" w:firstLineChars="200"/>
        <w:rPr>
          <w:rFonts w:asciiTheme="minorEastAsia" w:hAnsiTheme="minorEastAsia" w:eastAsiaTheme="minorEastAsia"/>
        </w:rPr>
      </w:pPr>
      <w:r>
        <w:rPr>
          <w:rFonts w:hint="eastAsia" w:asciiTheme="minorEastAsia" w:hAnsiTheme="minorEastAsia" w:eastAsiaTheme="minorEastAsia"/>
        </w:rPr>
        <w:t>种一棵树，最好的时间是10年前，其次是现在。</w:t>
      </w:r>
      <w:r>
        <w:rPr>
          <w:rFonts w:hint="eastAsia"/>
        </w:rPr>
        <w:t>十年前筚路蓝缕，以启山林；十年来栉风沐雨，砥砺前行。</w:t>
      </w:r>
      <w:r>
        <w:rPr>
          <w:rFonts w:hint="eastAsia" w:asciiTheme="minorEastAsia" w:hAnsiTheme="minorEastAsia" w:eastAsiaTheme="minorEastAsia"/>
        </w:rPr>
        <w:t>创业板十年成长，</w:t>
      </w:r>
      <w:r>
        <w:rPr>
          <w:rFonts w:hint="eastAsia"/>
        </w:rPr>
        <w:t>增强了资本市场服务创新创业企业的直接融资功能，推动创新创业企业快速发展，激发经济发展活力，成为服务科技创新和战略性新兴产业企业的重要平台。</w:t>
      </w:r>
      <w:r>
        <w:rPr>
          <w:rFonts w:hint="eastAsia" w:asciiTheme="minorEastAsia" w:hAnsiTheme="minorEastAsia" w:eastAsiaTheme="minorEastAsia"/>
        </w:rPr>
        <w:t>展望未来，随着创业板改革并试点注册制的稳步推进、中国经济转型升级、新一轮科技周期的来临，未来</w:t>
      </w:r>
      <w:r>
        <w:rPr>
          <w:rFonts w:asciiTheme="minorEastAsia" w:hAnsiTheme="minorEastAsia" w:eastAsiaTheme="minorEastAsia"/>
        </w:rPr>
        <w:t>十年，创业板指数或将</w:t>
      </w:r>
      <w:r>
        <w:rPr>
          <w:rFonts w:hint="eastAsia" w:asciiTheme="minorEastAsia" w:hAnsiTheme="minorEastAsia" w:eastAsiaTheme="minorEastAsia"/>
        </w:rPr>
        <w:t>能</w:t>
      </w:r>
      <w:r>
        <w:rPr>
          <w:rFonts w:asciiTheme="minorEastAsia" w:hAnsiTheme="minorEastAsia" w:eastAsiaTheme="minorEastAsia"/>
        </w:rPr>
        <w:t>帮助投资者们</w:t>
      </w:r>
      <w:r>
        <w:rPr>
          <w:rFonts w:hint="eastAsia" w:asciiTheme="minorEastAsia" w:hAnsiTheme="minorEastAsia" w:eastAsiaTheme="minorEastAsia"/>
        </w:rPr>
        <w:t>骑乘高质量成长趋势，分享未来的发展红利。</w:t>
      </w:r>
    </w:p>
    <w:p>
      <w:pPr>
        <w:spacing w:line="360" w:lineRule="auto"/>
        <w:rPr>
          <w:rFonts w:cs="宋体" w:asciiTheme="minorEastAsia" w:hAnsiTheme="minorEastAsia" w:eastAsiaTheme="minorEastAsia"/>
          <w:lang w:val="en"/>
        </w:rPr>
      </w:pPr>
    </w:p>
    <w:p>
      <w:pPr>
        <w:spacing w:line="360" w:lineRule="auto"/>
        <w:rPr>
          <w:rFonts w:cs="宋体" w:asciiTheme="minorEastAsia" w:hAnsiTheme="minorEastAsia" w:eastAsiaTheme="minorEastAsia"/>
          <w:lang w:val="en"/>
        </w:rPr>
      </w:pPr>
    </w:p>
    <w:p>
      <w:pPr>
        <w:spacing w:line="360" w:lineRule="auto"/>
        <w:rPr>
          <w:rFonts w:hint="eastAsia" w:cs="宋体" w:asciiTheme="minorEastAsia" w:hAnsiTheme="minorEastAsia" w:eastAsiaTheme="minorEastAsia"/>
          <w:lang w:val="en"/>
        </w:rPr>
      </w:pPr>
    </w:p>
    <w:p>
      <w:pPr>
        <w:spacing w:line="360" w:lineRule="auto"/>
        <w:rPr>
          <w:rFonts w:cs="宋体" w:asciiTheme="minorEastAsia" w:hAnsiTheme="minorEastAsia" w:eastAsiaTheme="minorEastAsia"/>
          <w:sz w:val="18"/>
          <w:szCs w:val="18"/>
          <w:lang w:val="en"/>
        </w:rPr>
      </w:pPr>
      <w:r>
        <w:rPr>
          <w:rFonts w:hint="eastAsia" w:cs="宋体" w:asciiTheme="minorEastAsia" w:hAnsiTheme="minorEastAsia" w:eastAsiaTheme="minorEastAsia"/>
          <w:sz w:val="18"/>
          <w:szCs w:val="18"/>
          <w:lang w:val="en"/>
        </w:rPr>
        <w:t>风险提示：历史收益不代表未来业绩表现。指数基金存在跟踪误差，定投不能规避基金投资所固有的风险，不能保证投资人获得收益，也不是替代储蓄的等效理财方式。本期内容观点仅供参考，购买前请阅读《基金合同》、《招募说明书》等法律文件。市场有风险，投资需谨慎。</w:t>
      </w:r>
    </w:p>
    <w:p>
      <w:pPr>
        <w:spacing w:line="360" w:lineRule="auto"/>
        <w:rPr>
          <w:rFonts w:cs="宋体" w:asciiTheme="minorEastAsia" w:hAnsiTheme="minorEastAsia" w:eastAsiaTheme="minorEastAsia"/>
          <w:sz w:val="18"/>
          <w:szCs w:val="18"/>
          <w:lang w:val="en"/>
        </w:rPr>
      </w:pPr>
    </w:p>
    <w:p>
      <w:pPr>
        <w:spacing w:line="360" w:lineRule="auto"/>
        <w:rPr>
          <w:rFonts w:hint="eastAsia" w:cs="宋体" w:asciiTheme="minorEastAsia" w:hAnsiTheme="minorEastAsia" w:eastAsiaTheme="minorEastAsia"/>
          <w:sz w:val="18"/>
          <w:szCs w:val="18"/>
        </w:rPr>
      </w:pPr>
      <w:r>
        <w:drawing>
          <wp:inline distT="0" distB="0" distL="0" distR="0">
            <wp:extent cx="5274310" cy="59182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274310" cy="591820"/>
                    </a:xfrm>
                    <a:prstGeom prst="rect">
                      <a:avLst/>
                    </a:prstGeom>
                    <a:noFill/>
                    <a:ln>
                      <a:noFill/>
                    </a:ln>
                  </pic:spPr>
                </pic:pic>
              </a:graphicData>
            </a:graphic>
          </wp:inline>
        </w:drawing>
      </w:r>
    </w:p>
    <w:sectPr>
      <w:headerReference r:id="rId3" w:type="default"/>
      <w:footerReference r:id="rId4" w:type="default"/>
      <w:pgSz w:w="11906" w:h="16838"/>
      <w:pgMar w:top="1440" w:right="1800" w:bottom="1440" w:left="1800" w:header="851" w:footer="992" w:gutter="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Arial Unicode MS">
    <w:altName w:val="Arial"/>
    <w:panose1 w:val="020B0604020202020204"/>
    <w:charset w:val="00"/>
    <w:family w:val="roman"/>
    <w:pitch w:val="default"/>
    <w:sig w:usb0="00000000" w:usb1="00000000" w:usb2="00000000" w:usb3="00000000" w:csb0="00000001" w:csb1="00000000"/>
  </w:font>
  <w:font w:name="姹変华涓瓑绾跨畝">
    <w:altName w:val="宋体"/>
    <w:panose1 w:val="00000000000000000000"/>
    <w:charset w:val="86"/>
    <w:family w:val="auto"/>
    <w:pitch w:val="default"/>
    <w:sig w:usb0="00000000" w:usb1="00000000" w:usb2="00000010" w:usb3="00000000" w:csb0="00040000" w:csb1="00000000"/>
  </w:font>
  <w:font w:name="Arial">
    <w:panose1 w:val="020B0604020202020204"/>
    <w:charset w:val="00"/>
    <w:family w:val="swiss"/>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drawing>
        <wp:anchor distT="0" distB="0" distL="114300" distR="114300" simplePos="0" relativeHeight="251659264" behindDoc="0" locked="0" layoutInCell="1" allowOverlap="1">
          <wp:simplePos x="0" y="0"/>
          <wp:positionH relativeFrom="column">
            <wp:posOffset>-1066800</wp:posOffset>
          </wp:positionH>
          <wp:positionV relativeFrom="paragraph">
            <wp:posOffset>-159385</wp:posOffset>
          </wp:positionV>
          <wp:extent cx="7418070" cy="876300"/>
          <wp:effectExtent l="0" t="0" r="0" b="0"/>
          <wp:wrapSquare wrapText="bothSides"/>
          <wp:docPr id="16" name="图片 16" descr="C:\Users\dingxm\AppData\Roaming\DingTalk\1426187_v2\ImageFiles\1590629626963_3FCDEC05-404E-4124-9E18-A75A0DCEF4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dingxm\AppData\Roaming\DingTalk\1426187_v2\ImageFiles\1590629626963_3FCDEC05-404E-4124-9E18-A75A0DCEF4EB.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418070" cy="876300"/>
                  </a:xfrm>
                  <a:prstGeom prst="rect">
                    <a:avLst/>
                  </a:prstGeom>
                  <a:noFill/>
                  <a:ln>
                    <a:noFill/>
                  </a:ln>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right"/>
    </w:pPr>
    <w:r>
      <w:drawing>
        <wp:inline distT="0" distB="0" distL="0" distR="0">
          <wp:extent cx="5293995" cy="488315"/>
          <wp:effectExtent l="0" t="0" r="1905" b="6985"/>
          <wp:docPr id="35" name="图片 35" descr="C:\Users\dingxm\AppData\Roaming\DingTalk\1426187_v2\ImageFiles\1590851892545_CE6DB995-B375-419f-B12C-16863388F9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dingxm\AppData\Roaming\DingTalk\1426187_v2\ImageFiles\1590851892545_CE6DB995-B375-419f-B12C-16863388F97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294333" cy="488631"/>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oNotDisplayPageBoundaries w:val="1"/>
  <w:embedSystem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76A8"/>
    <w:rsid w:val="00012BD1"/>
    <w:rsid w:val="0002157F"/>
    <w:rsid w:val="0002202F"/>
    <w:rsid w:val="000235E9"/>
    <w:rsid w:val="000240BC"/>
    <w:rsid w:val="0003117C"/>
    <w:rsid w:val="00037C44"/>
    <w:rsid w:val="00044C3F"/>
    <w:rsid w:val="00055849"/>
    <w:rsid w:val="000643D0"/>
    <w:rsid w:val="000669F6"/>
    <w:rsid w:val="00093D7A"/>
    <w:rsid w:val="00094822"/>
    <w:rsid w:val="000A29BB"/>
    <w:rsid w:val="000D5B9B"/>
    <w:rsid w:val="000E3B52"/>
    <w:rsid w:val="000E3C3C"/>
    <w:rsid w:val="00106B63"/>
    <w:rsid w:val="00114AE0"/>
    <w:rsid w:val="00122097"/>
    <w:rsid w:val="00131D0C"/>
    <w:rsid w:val="00135846"/>
    <w:rsid w:val="00140023"/>
    <w:rsid w:val="001431C5"/>
    <w:rsid w:val="00152442"/>
    <w:rsid w:val="001536D3"/>
    <w:rsid w:val="00175B51"/>
    <w:rsid w:val="00185612"/>
    <w:rsid w:val="00196195"/>
    <w:rsid w:val="00196876"/>
    <w:rsid w:val="001C2A6B"/>
    <w:rsid w:val="001F313B"/>
    <w:rsid w:val="00217558"/>
    <w:rsid w:val="00246335"/>
    <w:rsid w:val="002727F7"/>
    <w:rsid w:val="002747B8"/>
    <w:rsid w:val="002855B3"/>
    <w:rsid w:val="002870A8"/>
    <w:rsid w:val="00294483"/>
    <w:rsid w:val="002B6AF1"/>
    <w:rsid w:val="002C1ECA"/>
    <w:rsid w:val="002C3953"/>
    <w:rsid w:val="002C39C4"/>
    <w:rsid w:val="002F4D47"/>
    <w:rsid w:val="00314A22"/>
    <w:rsid w:val="00317CD1"/>
    <w:rsid w:val="003310F5"/>
    <w:rsid w:val="00367220"/>
    <w:rsid w:val="0037370B"/>
    <w:rsid w:val="0039007C"/>
    <w:rsid w:val="003B52C9"/>
    <w:rsid w:val="003F64BA"/>
    <w:rsid w:val="00421ABB"/>
    <w:rsid w:val="00433769"/>
    <w:rsid w:val="0044306D"/>
    <w:rsid w:val="00447742"/>
    <w:rsid w:val="0047082E"/>
    <w:rsid w:val="0048031C"/>
    <w:rsid w:val="00493F3B"/>
    <w:rsid w:val="00495625"/>
    <w:rsid w:val="004A52A5"/>
    <w:rsid w:val="004B1777"/>
    <w:rsid w:val="004C075E"/>
    <w:rsid w:val="004C34DC"/>
    <w:rsid w:val="00503CFA"/>
    <w:rsid w:val="005466D3"/>
    <w:rsid w:val="00555153"/>
    <w:rsid w:val="00555E30"/>
    <w:rsid w:val="005A4C86"/>
    <w:rsid w:val="005C1EEE"/>
    <w:rsid w:val="005E33F4"/>
    <w:rsid w:val="005E763B"/>
    <w:rsid w:val="005F0776"/>
    <w:rsid w:val="00600632"/>
    <w:rsid w:val="0061046F"/>
    <w:rsid w:val="0063764F"/>
    <w:rsid w:val="00645422"/>
    <w:rsid w:val="0065002D"/>
    <w:rsid w:val="00651BD5"/>
    <w:rsid w:val="00653592"/>
    <w:rsid w:val="006707AB"/>
    <w:rsid w:val="00673F0A"/>
    <w:rsid w:val="006837D7"/>
    <w:rsid w:val="006A4155"/>
    <w:rsid w:val="006B6629"/>
    <w:rsid w:val="006B7FF0"/>
    <w:rsid w:val="006C21B0"/>
    <w:rsid w:val="006C460C"/>
    <w:rsid w:val="006E4343"/>
    <w:rsid w:val="007020CF"/>
    <w:rsid w:val="0072335E"/>
    <w:rsid w:val="00751171"/>
    <w:rsid w:val="0077465F"/>
    <w:rsid w:val="007824F1"/>
    <w:rsid w:val="007B0742"/>
    <w:rsid w:val="007B3C04"/>
    <w:rsid w:val="007D7916"/>
    <w:rsid w:val="007F300C"/>
    <w:rsid w:val="00806C3B"/>
    <w:rsid w:val="0081036A"/>
    <w:rsid w:val="0084093D"/>
    <w:rsid w:val="00845B99"/>
    <w:rsid w:val="008664C4"/>
    <w:rsid w:val="00872F8D"/>
    <w:rsid w:val="00875084"/>
    <w:rsid w:val="00880EE6"/>
    <w:rsid w:val="008876A8"/>
    <w:rsid w:val="0089131F"/>
    <w:rsid w:val="008A63E7"/>
    <w:rsid w:val="008B350F"/>
    <w:rsid w:val="008D49CF"/>
    <w:rsid w:val="008E1ACE"/>
    <w:rsid w:val="00903ED4"/>
    <w:rsid w:val="009172BC"/>
    <w:rsid w:val="009367DA"/>
    <w:rsid w:val="00952C14"/>
    <w:rsid w:val="0096518B"/>
    <w:rsid w:val="00983263"/>
    <w:rsid w:val="0099204F"/>
    <w:rsid w:val="009A4D4B"/>
    <w:rsid w:val="009C7919"/>
    <w:rsid w:val="009D277F"/>
    <w:rsid w:val="009E0302"/>
    <w:rsid w:val="009F6FC0"/>
    <w:rsid w:val="00A0267C"/>
    <w:rsid w:val="00A10CC6"/>
    <w:rsid w:val="00A27100"/>
    <w:rsid w:val="00A7605D"/>
    <w:rsid w:val="00A835B5"/>
    <w:rsid w:val="00A87102"/>
    <w:rsid w:val="00AC5ABA"/>
    <w:rsid w:val="00AE2E27"/>
    <w:rsid w:val="00B239B0"/>
    <w:rsid w:val="00B33FAB"/>
    <w:rsid w:val="00B34D21"/>
    <w:rsid w:val="00B540EE"/>
    <w:rsid w:val="00B54CEC"/>
    <w:rsid w:val="00B71C8E"/>
    <w:rsid w:val="00BB70F2"/>
    <w:rsid w:val="00BD1DB2"/>
    <w:rsid w:val="00BE6389"/>
    <w:rsid w:val="00C1537C"/>
    <w:rsid w:val="00C27E69"/>
    <w:rsid w:val="00C709AA"/>
    <w:rsid w:val="00C83453"/>
    <w:rsid w:val="00C96956"/>
    <w:rsid w:val="00CA1ECD"/>
    <w:rsid w:val="00CB5546"/>
    <w:rsid w:val="00CD683B"/>
    <w:rsid w:val="00CF07B8"/>
    <w:rsid w:val="00D01E4B"/>
    <w:rsid w:val="00D2028B"/>
    <w:rsid w:val="00D230A9"/>
    <w:rsid w:val="00D23ABE"/>
    <w:rsid w:val="00D4028C"/>
    <w:rsid w:val="00D503A8"/>
    <w:rsid w:val="00D568EA"/>
    <w:rsid w:val="00D62B75"/>
    <w:rsid w:val="00D63232"/>
    <w:rsid w:val="00D774F3"/>
    <w:rsid w:val="00D91284"/>
    <w:rsid w:val="00D91B16"/>
    <w:rsid w:val="00DA0509"/>
    <w:rsid w:val="00DA0B50"/>
    <w:rsid w:val="00DB0DCC"/>
    <w:rsid w:val="00DB2BEA"/>
    <w:rsid w:val="00DD200F"/>
    <w:rsid w:val="00DE55D8"/>
    <w:rsid w:val="00E229B3"/>
    <w:rsid w:val="00E324AA"/>
    <w:rsid w:val="00E455AB"/>
    <w:rsid w:val="00E53040"/>
    <w:rsid w:val="00E6711B"/>
    <w:rsid w:val="00E75CC9"/>
    <w:rsid w:val="00E956E9"/>
    <w:rsid w:val="00EF204E"/>
    <w:rsid w:val="00F22AA4"/>
    <w:rsid w:val="00F46E1D"/>
    <w:rsid w:val="00F676E8"/>
    <w:rsid w:val="00F776A1"/>
    <w:rsid w:val="00F85970"/>
    <w:rsid w:val="00F91046"/>
    <w:rsid w:val="00F97939"/>
    <w:rsid w:val="00FB00B5"/>
    <w:rsid w:val="00FB7F1A"/>
    <w:rsid w:val="00FE2835"/>
    <w:rsid w:val="00FE2BFB"/>
    <w:rsid w:val="00FE7BEF"/>
    <w:rsid w:val="011A24D2"/>
    <w:rsid w:val="014A6A8E"/>
    <w:rsid w:val="016937FE"/>
    <w:rsid w:val="01AB7902"/>
    <w:rsid w:val="01B24D3B"/>
    <w:rsid w:val="01CE7750"/>
    <w:rsid w:val="025A76D4"/>
    <w:rsid w:val="028C4192"/>
    <w:rsid w:val="02945CE2"/>
    <w:rsid w:val="02F9164E"/>
    <w:rsid w:val="030A28A5"/>
    <w:rsid w:val="033545F9"/>
    <w:rsid w:val="037A2A7C"/>
    <w:rsid w:val="03835C3C"/>
    <w:rsid w:val="03963BBB"/>
    <w:rsid w:val="03D601F6"/>
    <w:rsid w:val="03D827ED"/>
    <w:rsid w:val="03E70EF5"/>
    <w:rsid w:val="045E5870"/>
    <w:rsid w:val="048874E2"/>
    <w:rsid w:val="0498606A"/>
    <w:rsid w:val="04C56576"/>
    <w:rsid w:val="04C75F7F"/>
    <w:rsid w:val="04D47DDD"/>
    <w:rsid w:val="053C4A05"/>
    <w:rsid w:val="053E26DE"/>
    <w:rsid w:val="058304EC"/>
    <w:rsid w:val="05AC5206"/>
    <w:rsid w:val="05F221A3"/>
    <w:rsid w:val="05F9618E"/>
    <w:rsid w:val="06017B55"/>
    <w:rsid w:val="06320D8D"/>
    <w:rsid w:val="065F1207"/>
    <w:rsid w:val="066000C8"/>
    <w:rsid w:val="069C3FD6"/>
    <w:rsid w:val="06A6447D"/>
    <w:rsid w:val="07000D44"/>
    <w:rsid w:val="070732C6"/>
    <w:rsid w:val="07293987"/>
    <w:rsid w:val="077E5814"/>
    <w:rsid w:val="077F2F11"/>
    <w:rsid w:val="07BF48A4"/>
    <w:rsid w:val="07EA2A4A"/>
    <w:rsid w:val="08415E35"/>
    <w:rsid w:val="088953B7"/>
    <w:rsid w:val="088E2327"/>
    <w:rsid w:val="08A24FE6"/>
    <w:rsid w:val="092B68DA"/>
    <w:rsid w:val="096631FF"/>
    <w:rsid w:val="096D7152"/>
    <w:rsid w:val="0981589F"/>
    <w:rsid w:val="098F2100"/>
    <w:rsid w:val="09B47A62"/>
    <w:rsid w:val="09D05255"/>
    <w:rsid w:val="09D57376"/>
    <w:rsid w:val="09F040E4"/>
    <w:rsid w:val="0A103A83"/>
    <w:rsid w:val="0A527039"/>
    <w:rsid w:val="0A573264"/>
    <w:rsid w:val="0ABB0213"/>
    <w:rsid w:val="0AF95C95"/>
    <w:rsid w:val="0B06672D"/>
    <w:rsid w:val="0B214053"/>
    <w:rsid w:val="0B8F2426"/>
    <w:rsid w:val="0BA2182F"/>
    <w:rsid w:val="0BB31F6C"/>
    <w:rsid w:val="0BD23CF3"/>
    <w:rsid w:val="0C1022BA"/>
    <w:rsid w:val="0C1A4FCF"/>
    <w:rsid w:val="0C5A5FB7"/>
    <w:rsid w:val="0C840AF0"/>
    <w:rsid w:val="0C9660F6"/>
    <w:rsid w:val="0CAA06B8"/>
    <w:rsid w:val="0CAE6839"/>
    <w:rsid w:val="0CB62761"/>
    <w:rsid w:val="0CBD3020"/>
    <w:rsid w:val="0CBD5E28"/>
    <w:rsid w:val="0D884370"/>
    <w:rsid w:val="0DB65361"/>
    <w:rsid w:val="0E216FB5"/>
    <w:rsid w:val="0E275D30"/>
    <w:rsid w:val="0E3E46F9"/>
    <w:rsid w:val="0E5301E1"/>
    <w:rsid w:val="0E762EA4"/>
    <w:rsid w:val="0ED5024D"/>
    <w:rsid w:val="0F7F1A4F"/>
    <w:rsid w:val="0F7F4317"/>
    <w:rsid w:val="0FD76683"/>
    <w:rsid w:val="0FDF412C"/>
    <w:rsid w:val="1026019D"/>
    <w:rsid w:val="102D6138"/>
    <w:rsid w:val="10314BDE"/>
    <w:rsid w:val="105C1074"/>
    <w:rsid w:val="10797853"/>
    <w:rsid w:val="110A57A1"/>
    <w:rsid w:val="112D4E2B"/>
    <w:rsid w:val="112F74C8"/>
    <w:rsid w:val="114C5240"/>
    <w:rsid w:val="118B742B"/>
    <w:rsid w:val="118B7F51"/>
    <w:rsid w:val="11993AB2"/>
    <w:rsid w:val="11AE0573"/>
    <w:rsid w:val="124C3D56"/>
    <w:rsid w:val="128C24D5"/>
    <w:rsid w:val="1294487E"/>
    <w:rsid w:val="12B72D8B"/>
    <w:rsid w:val="12BF5043"/>
    <w:rsid w:val="134A135C"/>
    <w:rsid w:val="138D187D"/>
    <w:rsid w:val="13A80976"/>
    <w:rsid w:val="13E40895"/>
    <w:rsid w:val="13F208C5"/>
    <w:rsid w:val="14465E98"/>
    <w:rsid w:val="144A3632"/>
    <w:rsid w:val="14776D4F"/>
    <w:rsid w:val="148100B0"/>
    <w:rsid w:val="14D42015"/>
    <w:rsid w:val="14F02C2B"/>
    <w:rsid w:val="14FC46B8"/>
    <w:rsid w:val="150E3219"/>
    <w:rsid w:val="15445EC1"/>
    <w:rsid w:val="15A75949"/>
    <w:rsid w:val="15D502A5"/>
    <w:rsid w:val="15DA76B0"/>
    <w:rsid w:val="15E6540A"/>
    <w:rsid w:val="15F44C72"/>
    <w:rsid w:val="16082C71"/>
    <w:rsid w:val="1609007D"/>
    <w:rsid w:val="1634072C"/>
    <w:rsid w:val="16461F91"/>
    <w:rsid w:val="172F6F4E"/>
    <w:rsid w:val="173774C7"/>
    <w:rsid w:val="174C4A33"/>
    <w:rsid w:val="174E1E01"/>
    <w:rsid w:val="177F18AF"/>
    <w:rsid w:val="17A91A77"/>
    <w:rsid w:val="17C36A53"/>
    <w:rsid w:val="18126B92"/>
    <w:rsid w:val="18413725"/>
    <w:rsid w:val="18A1652F"/>
    <w:rsid w:val="18AD42E0"/>
    <w:rsid w:val="18B10201"/>
    <w:rsid w:val="1918748A"/>
    <w:rsid w:val="192633BE"/>
    <w:rsid w:val="19456D8C"/>
    <w:rsid w:val="19484C6C"/>
    <w:rsid w:val="1961090A"/>
    <w:rsid w:val="197208DA"/>
    <w:rsid w:val="19F50B7A"/>
    <w:rsid w:val="1A4870C7"/>
    <w:rsid w:val="1A822417"/>
    <w:rsid w:val="1A95343D"/>
    <w:rsid w:val="1A9C642B"/>
    <w:rsid w:val="1ABC145C"/>
    <w:rsid w:val="1AEA6853"/>
    <w:rsid w:val="1AF803E1"/>
    <w:rsid w:val="1B810BE3"/>
    <w:rsid w:val="1BA9341F"/>
    <w:rsid w:val="1C0C2707"/>
    <w:rsid w:val="1C19483A"/>
    <w:rsid w:val="1C1C2A51"/>
    <w:rsid w:val="1C2B704F"/>
    <w:rsid w:val="1C4A5706"/>
    <w:rsid w:val="1C857BD4"/>
    <w:rsid w:val="1C8C69C3"/>
    <w:rsid w:val="1CBD60A8"/>
    <w:rsid w:val="1CC456D1"/>
    <w:rsid w:val="1CEA57FA"/>
    <w:rsid w:val="1D116BF8"/>
    <w:rsid w:val="1D5B2146"/>
    <w:rsid w:val="1D6618DE"/>
    <w:rsid w:val="1DE720CA"/>
    <w:rsid w:val="1E0F4F7D"/>
    <w:rsid w:val="1E6539FC"/>
    <w:rsid w:val="1EB3604A"/>
    <w:rsid w:val="1F3779D9"/>
    <w:rsid w:val="1F7B38B9"/>
    <w:rsid w:val="1FAF19DC"/>
    <w:rsid w:val="1FD345F6"/>
    <w:rsid w:val="1FDA446C"/>
    <w:rsid w:val="1FF14DD4"/>
    <w:rsid w:val="20040CCF"/>
    <w:rsid w:val="202F118C"/>
    <w:rsid w:val="20627D73"/>
    <w:rsid w:val="20855AFB"/>
    <w:rsid w:val="208E58EE"/>
    <w:rsid w:val="20D808B9"/>
    <w:rsid w:val="210126A8"/>
    <w:rsid w:val="210B33EB"/>
    <w:rsid w:val="216A1954"/>
    <w:rsid w:val="21FF5414"/>
    <w:rsid w:val="22543A51"/>
    <w:rsid w:val="22837C2A"/>
    <w:rsid w:val="22B33BB7"/>
    <w:rsid w:val="22EB344A"/>
    <w:rsid w:val="2324283D"/>
    <w:rsid w:val="23D4166C"/>
    <w:rsid w:val="240671DA"/>
    <w:rsid w:val="243776A5"/>
    <w:rsid w:val="245C1228"/>
    <w:rsid w:val="24B84856"/>
    <w:rsid w:val="24C132E6"/>
    <w:rsid w:val="25284B51"/>
    <w:rsid w:val="253048C1"/>
    <w:rsid w:val="25663F27"/>
    <w:rsid w:val="258026BE"/>
    <w:rsid w:val="258A6512"/>
    <w:rsid w:val="2596231C"/>
    <w:rsid w:val="25F64B51"/>
    <w:rsid w:val="25F819CE"/>
    <w:rsid w:val="260C15EA"/>
    <w:rsid w:val="26386B3E"/>
    <w:rsid w:val="2656637C"/>
    <w:rsid w:val="265F6185"/>
    <w:rsid w:val="26AC02FF"/>
    <w:rsid w:val="26B232E4"/>
    <w:rsid w:val="270B746E"/>
    <w:rsid w:val="273B0E04"/>
    <w:rsid w:val="27735B19"/>
    <w:rsid w:val="27852358"/>
    <w:rsid w:val="278F4DC5"/>
    <w:rsid w:val="27944399"/>
    <w:rsid w:val="27AA3220"/>
    <w:rsid w:val="27D27561"/>
    <w:rsid w:val="27D30BD5"/>
    <w:rsid w:val="27DD490C"/>
    <w:rsid w:val="27FF252A"/>
    <w:rsid w:val="285C4845"/>
    <w:rsid w:val="28623B70"/>
    <w:rsid w:val="28BD73D7"/>
    <w:rsid w:val="28FF6730"/>
    <w:rsid w:val="29090991"/>
    <w:rsid w:val="290972B8"/>
    <w:rsid w:val="29472F59"/>
    <w:rsid w:val="295C147F"/>
    <w:rsid w:val="29814016"/>
    <w:rsid w:val="29E05DF5"/>
    <w:rsid w:val="29F84EAF"/>
    <w:rsid w:val="2A131A89"/>
    <w:rsid w:val="2A37502C"/>
    <w:rsid w:val="2A6223C7"/>
    <w:rsid w:val="2A810533"/>
    <w:rsid w:val="2AC131F1"/>
    <w:rsid w:val="2ACA3033"/>
    <w:rsid w:val="2B0F060D"/>
    <w:rsid w:val="2B2C7D97"/>
    <w:rsid w:val="2B412269"/>
    <w:rsid w:val="2B4B48AC"/>
    <w:rsid w:val="2B7C4BFA"/>
    <w:rsid w:val="2B8C0717"/>
    <w:rsid w:val="2BBF3F47"/>
    <w:rsid w:val="2BC55977"/>
    <w:rsid w:val="2C3A70B6"/>
    <w:rsid w:val="2C4854FF"/>
    <w:rsid w:val="2CB86717"/>
    <w:rsid w:val="2CE361BA"/>
    <w:rsid w:val="2D1921B9"/>
    <w:rsid w:val="2D5C57CD"/>
    <w:rsid w:val="2DBB2AA0"/>
    <w:rsid w:val="2E560DB7"/>
    <w:rsid w:val="2E5E5ED6"/>
    <w:rsid w:val="2EAC2021"/>
    <w:rsid w:val="2EE154B1"/>
    <w:rsid w:val="2F1706FE"/>
    <w:rsid w:val="2F785C2A"/>
    <w:rsid w:val="2F89322C"/>
    <w:rsid w:val="2FC96BD8"/>
    <w:rsid w:val="30157316"/>
    <w:rsid w:val="302F23FB"/>
    <w:rsid w:val="30730365"/>
    <w:rsid w:val="311435C4"/>
    <w:rsid w:val="314042A8"/>
    <w:rsid w:val="317368AD"/>
    <w:rsid w:val="317844E7"/>
    <w:rsid w:val="31817255"/>
    <w:rsid w:val="31847EE7"/>
    <w:rsid w:val="31FF73C8"/>
    <w:rsid w:val="32293CE5"/>
    <w:rsid w:val="32606D10"/>
    <w:rsid w:val="32655666"/>
    <w:rsid w:val="3285373F"/>
    <w:rsid w:val="32A9279C"/>
    <w:rsid w:val="32C40BE5"/>
    <w:rsid w:val="32C80E37"/>
    <w:rsid w:val="32F132A6"/>
    <w:rsid w:val="32FC5523"/>
    <w:rsid w:val="3305692A"/>
    <w:rsid w:val="330726BE"/>
    <w:rsid w:val="3311280F"/>
    <w:rsid w:val="3345633A"/>
    <w:rsid w:val="334D3667"/>
    <w:rsid w:val="33784B6B"/>
    <w:rsid w:val="33980E6D"/>
    <w:rsid w:val="33DA3C1E"/>
    <w:rsid w:val="33EF61A0"/>
    <w:rsid w:val="34747882"/>
    <w:rsid w:val="34A90EAA"/>
    <w:rsid w:val="34AD734C"/>
    <w:rsid w:val="34EF710B"/>
    <w:rsid w:val="34F1751A"/>
    <w:rsid w:val="34F41068"/>
    <w:rsid w:val="351409E9"/>
    <w:rsid w:val="35382257"/>
    <w:rsid w:val="3564708A"/>
    <w:rsid w:val="35932AE4"/>
    <w:rsid w:val="35E70E22"/>
    <w:rsid w:val="360C3B50"/>
    <w:rsid w:val="3627051D"/>
    <w:rsid w:val="3635014C"/>
    <w:rsid w:val="364C270A"/>
    <w:rsid w:val="367B3CF2"/>
    <w:rsid w:val="36B11133"/>
    <w:rsid w:val="36D43EC7"/>
    <w:rsid w:val="36D47A0F"/>
    <w:rsid w:val="37150DDC"/>
    <w:rsid w:val="375D3EC9"/>
    <w:rsid w:val="37993C40"/>
    <w:rsid w:val="37BB2558"/>
    <w:rsid w:val="37BC72D5"/>
    <w:rsid w:val="37CE3C00"/>
    <w:rsid w:val="37E138F2"/>
    <w:rsid w:val="382F1A0D"/>
    <w:rsid w:val="383721B7"/>
    <w:rsid w:val="384F1159"/>
    <w:rsid w:val="385B617E"/>
    <w:rsid w:val="386975C3"/>
    <w:rsid w:val="38F16695"/>
    <w:rsid w:val="390A21A7"/>
    <w:rsid w:val="39103B00"/>
    <w:rsid w:val="39341B81"/>
    <w:rsid w:val="394A1DAB"/>
    <w:rsid w:val="39544068"/>
    <w:rsid w:val="39983904"/>
    <w:rsid w:val="39D36BEA"/>
    <w:rsid w:val="3A1C4858"/>
    <w:rsid w:val="3A1C62F1"/>
    <w:rsid w:val="3A3A1C96"/>
    <w:rsid w:val="3A734793"/>
    <w:rsid w:val="3A9C5868"/>
    <w:rsid w:val="3AA9706C"/>
    <w:rsid w:val="3ACC37A5"/>
    <w:rsid w:val="3ACD504F"/>
    <w:rsid w:val="3AE707C6"/>
    <w:rsid w:val="3B080DB2"/>
    <w:rsid w:val="3BB50B95"/>
    <w:rsid w:val="3BEA38EC"/>
    <w:rsid w:val="3C1B3E78"/>
    <w:rsid w:val="3C244502"/>
    <w:rsid w:val="3C585AA7"/>
    <w:rsid w:val="3C5A5ABF"/>
    <w:rsid w:val="3C837157"/>
    <w:rsid w:val="3D0650C8"/>
    <w:rsid w:val="3D8B46F2"/>
    <w:rsid w:val="3DA10831"/>
    <w:rsid w:val="3E251AD3"/>
    <w:rsid w:val="3E3908CE"/>
    <w:rsid w:val="3EC60199"/>
    <w:rsid w:val="3ECB2975"/>
    <w:rsid w:val="3F3E4C51"/>
    <w:rsid w:val="3F97058E"/>
    <w:rsid w:val="3FB85F24"/>
    <w:rsid w:val="40034904"/>
    <w:rsid w:val="40276E30"/>
    <w:rsid w:val="403E0AE0"/>
    <w:rsid w:val="40554D77"/>
    <w:rsid w:val="405705E3"/>
    <w:rsid w:val="40B5032A"/>
    <w:rsid w:val="40D43EC9"/>
    <w:rsid w:val="40DB018D"/>
    <w:rsid w:val="40EE01FF"/>
    <w:rsid w:val="41CB2C48"/>
    <w:rsid w:val="421D463A"/>
    <w:rsid w:val="422C212F"/>
    <w:rsid w:val="4248610E"/>
    <w:rsid w:val="42816322"/>
    <w:rsid w:val="428678F5"/>
    <w:rsid w:val="42D37F71"/>
    <w:rsid w:val="431D391D"/>
    <w:rsid w:val="436D36FF"/>
    <w:rsid w:val="43832FA3"/>
    <w:rsid w:val="43B947F7"/>
    <w:rsid w:val="44196458"/>
    <w:rsid w:val="442F3FFF"/>
    <w:rsid w:val="44606FCE"/>
    <w:rsid w:val="446B419E"/>
    <w:rsid w:val="44965EA9"/>
    <w:rsid w:val="44AA42F5"/>
    <w:rsid w:val="4551458A"/>
    <w:rsid w:val="456D7C7E"/>
    <w:rsid w:val="45796A64"/>
    <w:rsid w:val="45800190"/>
    <w:rsid w:val="459836BA"/>
    <w:rsid w:val="45A363FE"/>
    <w:rsid w:val="45A5264A"/>
    <w:rsid w:val="45AB4636"/>
    <w:rsid w:val="45AF7495"/>
    <w:rsid w:val="45CB5E42"/>
    <w:rsid w:val="45FF0F03"/>
    <w:rsid w:val="461275F0"/>
    <w:rsid w:val="462C07FB"/>
    <w:rsid w:val="468E693D"/>
    <w:rsid w:val="46AF4162"/>
    <w:rsid w:val="46E860AF"/>
    <w:rsid w:val="47157CEC"/>
    <w:rsid w:val="475B2430"/>
    <w:rsid w:val="47624E1D"/>
    <w:rsid w:val="47C3348F"/>
    <w:rsid w:val="4859085C"/>
    <w:rsid w:val="48692009"/>
    <w:rsid w:val="486B57C8"/>
    <w:rsid w:val="486E54E0"/>
    <w:rsid w:val="48933CBE"/>
    <w:rsid w:val="48BC12B7"/>
    <w:rsid w:val="48C77DA3"/>
    <w:rsid w:val="491D7B6B"/>
    <w:rsid w:val="493D4A54"/>
    <w:rsid w:val="494C02C7"/>
    <w:rsid w:val="498E7703"/>
    <w:rsid w:val="49931F07"/>
    <w:rsid w:val="49DE76EC"/>
    <w:rsid w:val="4A0245F6"/>
    <w:rsid w:val="4A2B3440"/>
    <w:rsid w:val="4ABE621C"/>
    <w:rsid w:val="4AD95601"/>
    <w:rsid w:val="4B0637D4"/>
    <w:rsid w:val="4B2B2124"/>
    <w:rsid w:val="4B2D3018"/>
    <w:rsid w:val="4B364405"/>
    <w:rsid w:val="4B490D10"/>
    <w:rsid w:val="4B5D2CD0"/>
    <w:rsid w:val="4BDE332F"/>
    <w:rsid w:val="4C0C2C92"/>
    <w:rsid w:val="4C49585D"/>
    <w:rsid w:val="4C7C248B"/>
    <w:rsid w:val="4C93632C"/>
    <w:rsid w:val="4CE12517"/>
    <w:rsid w:val="4CF96FB8"/>
    <w:rsid w:val="4D59580D"/>
    <w:rsid w:val="4D706FAE"/>
    <w:rsid w:val="4D8D4F59"/>
    <w:rsid w:val="4DB002AD"/>
    <w:rsid w:val="4E0F3858"/>
    <w:rsid w:val="4E332B16"/>
    <w:rsid w:val="4E893EFA"/>
    <w:rsid w:val="4EAB4A18"/>
    <w:rsid w:val="4EBE0737"/>
    <w:rsid w:val="4F326BD8"/>
    <w:rsid w:val="4F872E2B"/>
    <w:rsid w:val="4FA15ADA"/>
    <w:rsid w:val="4FC47C52"/>
    <w:rsid w:val="4FE81C25"/>
    <w:rsid w:val="5006653B"/>
    <w:rsid w:val="501F156F"/>
    <w:rsid w:val="5068292C"/>
    <w:rsid w:val="50EA5662"/>
    <w:rsid w:val="51075ED7"/>
    <w:rsid w:val="516E375D"/>
    <w:rsid w:val="51912D30"/>
    <w:rsid w:val="51AB3543"/>
    <w:rsid w:val="51AD07F1"/>
    <w:rsid w:val="51BE460F"/>
    <w:rsid w:val="51CD0792"/>
    <w:rsid w:val="51EA6769"/>
    <w:rsid w:val="51F83A0A"/>
    <w:rsid w:val="52794955"/>
    <w:rsid w:val="52C46E4E"/>
    <w:rsid w:val="52CD712F"/>
    <w:rsid w:val="53427C3B"/>
    <w:rsid w:val="534A4B63"/>
    <w:rsid w:val="537D257D"/>
    <w:rsid w:val="537E66F4"/>
    <w:rsid w:val="541805BB"/>
    <w:rsid w:val="542F4569"/>
    <w:rsid w:val="54743538"/>
    <w:rsid w:val="55167799"/>
    <w:rsid w:val="551B0D7F"/>
    <w:rsid w:val="552A1EB5"/>
    <w:rsid w:val="5548229E"/>
    <w:rsid w:val="559842BE"/>
    <w:rsid w:val="55F26B99"/>
    <w:rsid w:val="560E2504"/>
    <w:rsid w:val="56631220"/>
    <w:rsid w:val="56666A15"/>
    <w:rsid w:val="566826DD"/>
    <w:rsid w:val="570A4894"/>
    <w:rsid w:val="574311ED"/>
    <w:rsid w:val="574448FE"/>
    <w:rsid w:val="57E54845"/>
    <w:rsid w:val="5876283B"/>
    <w:rsid w:val="58963C13"/>
    <w:rsid w:val="58AA5DD3"/>
    <w:rsid w:val="58E44BEB"/>
    <w:rsid w:val="58E51356"/>
    <w:rsid w:val="58FE7F84"/>
    <w:rsid w:val="59113E34"/>
    <w:rsid w:val="593A545F"/>
    <w:rsid w:val="59A67D67"/>
    <w:rsid w:val="59B435A8"/>
    <w:rsid w:val="5A165245"/>
    <w:rsid w:val="5AC46A53"/>
    <w:rsid w:val="5C484E2A"/>
    <w:rsid w:val="5C910490"/>
    <w:rsid w:val="5C98396C"/>
    <w:rsid w:val="5D034C88"/>
    <w:rsid w:val="5D212FBC"/>
    <w:rsid w:val="5D4861C3"/>
    <w:rsid w:val="5D9B3702"/>
    <w:rsid w:val="5DE13F80"/>
    <w:rsid w:val="5E05684F"/>
    <w:rsid w:val="5E821AD3"/>
    <w:rsid w:val="5E904394"/>
    <w:rsid w:val="5F0D54BD"/>
    <w:rsid w:val="5F36587D"/>
    <w:rsid w:val="5F7B6D48"/>
    <w:rsid w:val="5F7D6505"/>
    <w:rsid w:val="5FCD433F"/>
    <w:rsid w:val="5FF97F4D"/>
    <w:rsid w:val="601F0088"/>
    <w:rsid w:val="60817389"/>
    <w:rsid w:val="608A7FF2"/>
    <w:rsid w:val="60A832DA"/>
    <w:rsid w:val="60C049DE"/>
    <w:rsid w:val="60CC2551"/>
    <w:rsid w:val="613323A6"/>
    <w:rsid w:val="61A95A61"/>
    <w:rsid w:val="61C0565D"/>
    <w:rsid w:val="61E55D5A"/>
    <w:rsid w:val="61E64AFE"/>
    <w:rsid w:val="61FA46D6"/>
    <w:rsid w:val="621C18DA"/>
    <w:rsid w:val="62F74F27"/>
    <w:rsid w:val="631354C7"/>
    <w:rsid w:val="632150FE"/>
    <w:rsid w:val="63370C94"/>
    <w:rsid w:val="637E7B01"/>
    <w:rsid w:val="63A30100"/>
    <w:rsid w:val="63FA461D"/>
    <w:rsid w:val="640859F7"/>
    <w:rsid w:val="641911E9"/>
    <w:rsid w:val="641F035D"/>
    <w:rsid w:val="644449D7"/>
    <w:rsid w:val="64946291"/>
    <w:rsid w:val="64BC306C"/>
    <w:rsid w:val="64BE56D0"/>
    <w:rsid w:val="64E221B2"/>
    <w:rsid w:val="64FA15D1"/>
    <w:rsid w:val="65053EE1"/>
    <w:rsid w:val="650943E4"/>
    <w:rsid w:val="650E65BE"/>
    <w:rsid w:val="652C1AC0"/>
    <w:rsid w:val="659A020C"/>
    <w:rsid w:val="65D41540"/>
    <w:rsid w:val="65EB704C"/>
    <w:rsid w:val="66100FE8"/>
    <w:rsid w:val="66A37F5B"/>
    <w:rsid w:val="670B1093"/>
    <w:rsid w:val="6765493E"/>
    <w:rsid w:val="678B593A"/>
    <w:rsid w:val="678F6EE8"/>
    <w:rsid w:val="67D564E9"/>
    <w:rsid w:val="67E87FC9"/>
    <w:rsid w:val="681B6584"/>
    <w:rsid w:val="6834791C"/>
    <w:rsid w:val="68442219"/>
    <w:rsid w:val="68476FA9"/>
    <w:rsid w:val="68973893"/>
    <w:rsid w:val="68C42B28"/>
    <w:rsid w:val="69211093"/>
    <w:rsid w:val="6941746A"/>
    <w:rsid w:val="694174B0"/>
    <w:rsid w:val="69801FEF"/>
    <w:rsid w:val="69B248CC"/>
    <w:rsid w:val="69D014C2"/>
    <w:rsid w:val="6A1C6C8C"/>
    <w:rsid w:val="6A1D7A0D"/>
    <w:rsid w:val="6A35335A"/>
    <w:rsid w:val="6A683EAA"/>
    <w:rsid w:val="6A6E47B7"/>
    <w:rsid w:val="6A9A2E09"/>
    <w:rsid w:val="6AB44073"/>
    <w:rsid w:val="6AB615F9"/>
    <w:rsid w:val="6B5073DD"/>
    <w:rsid w:val="6B622A1E"/>
    <w:rsid w:val="6C1A5787"/>
    <w:rsid w:val="6CCE3AF2"/>
    <w:rsid w:val="6CD76494"/>
    <w:rsid w:val="6D100710"/>
    <w:rsid w:val="6D2C3334"/>
    <w:rsid w:val="6D334160"/>
    <w:rsid w:val="6D912C8C"/>
    <w:rsid w:val="6D9362D4"/>
    <w:rsid w:val="6DD47D35"/>
    <w:rsid w:val="6E1A76D9"/>
    <w:rsid w:val="6E240F00"/>
    <w:rsid w:val="6E2C2448"/>
    <w:rsid w:val="6E460920"/>
    <w:rsid w:val="6E5D18E7"/>
    <w:rsid w:val="6E852EB6"/>
    <w:rsid w:val="6E9A31BD"/>
    <w:rsid w:val="6EA40A68"/>
    <w:rsid w:val="6F0E66D4"/>
    <w:rsid w:val="6F447200"/>
    <w:rsid w:val="6F472540"/>
    <w:rsid w:val="6F822DAD"/>
    <w:rsid w:val="6F970E8D"/>
    <w:rsid w:val="6FA73868"/>
    <w:rsid w:val="6FE53DD6"/>
    <w:rsid w:val="700D6173"/>
    <w:rsid w:val="702E2492"/>
    <w:rsid w:val="70D148AE"/>
    <w:rsid w:val="70DB47A1"/>
    <w:rsid w:val="7112001B"/>
    <w:rsid w:val="71D32B0F"/>
    <w:rsid w:val="72342A75"/>
    <w:rsid w:val="72416A2A"/>
    <w:rsid w:val="724F0CAF"/>
    <w:rsid w:val="725A18DD"/>
    <w:rsid w:val="72615FE8"/>
    <w:rsid w:val="72855628"/>
    <w:rsid w:val="729A2240"/>
    <w:rsid w:val="73820ADE"/>
    <w:rsid w:val="7394599D"/>
    <w:rsid w:val="739E767B"/>
    <w:rsid w:val="73CE41EA"/>
    <w:rsid w:val="745960DF"/>
    <w:rsid w:val="747739B2"/>
    <w:rsid w:val="749820C3"/>
    <w:rsid w:val="74AD2689"/>
    <w:rsid w:val="74CE3E14"/>
    <w:rsid w:val="74D1341B"/>
    <w:rsid w:val="74EB65F2"/>
    <w:rsid w:val="753637D6"/>
    <w:rsid w:val="75C40A05"/>
    <w:rsid w:val="76397D87"/>
    <w:rsid w:val="76415694"/>
    <w:rsid w:val="76D24271"/>
    <w:rsid w:val="76D62837"/>
    <w:rsid w:val="771C278A"/>
    <w:rsid w:val="773A7755"/>
    <w:rsid w:val="77571C17"/>
    <w:rsid w:val="77922E1F"/>
    <w:rsid w:val="77FF165B"/>
    <w:rsid w:val="78732181"/>
    <w:rsid w:val="78EB79CB"/>
    <w:rsid w:val="797D118D"/>
    <w:rsid w:val="79880E39"/>
    <w:rsid w:val="79BF6206"/>
    <w:rsid w:val="79D36762"/>
    <w:rsid w:val="79FC46F7"/>
    <w:rsid w:val="7A0A5F4B"/>
    <w:rsid w:val="7A1365AD"/>
    <w:rsid w:val="7A1755FF"/>
    <w:rsid w:val="7A8A7A50"/>
    <w:rsid w:val="7A8B5621"/>
    <w:rsid w:val="7B0F0084"/>
    <w:rsid w:val="7B160DD9"/>
    <w:rsid w:val="7B692DC9"/>
    <w:rsid w:val="7B78022E"/>
    <w:rsid w:val="7BC557DC"/>
    <w:rsid w:val="7BE6A482"/>
    <w:rsid w:val="7BE8746C"/>
    <w:rsid w:val="7C0D1DC7"/>
    <w:rsid w:val="7C615936"/>
    <w:rsid w:val="7C7D0BFD"/>
    <w:rsid w:val="7C887ADE"/>
    <w:rsid w:val="7CE67473"/>
    <w:rsid w:val="7D02515D"/>
    <w:rsid w:val="7D5F3AE6"/>
    <w:rsid w:val="7D7C7061"/>
    <w:rsid w:val="7DBA7C16"/>
    <w:rsid w:val="7E254BC9"/>
    <w:rsid w:val="7E624B35"/>
    <w:rsid w:val="7E9D006B"/>
    <w:rsid w:val="7EFD7381"/>
    <w:rsid w:val="7F136CE9"/>
    <w:rsid w:val="7F180F44"/>
    <w:rsid w:val="7F271DA0"/>
    <w:rsid w:val="7F3342A3"/>
    <w:rsid w:val="7FD34D1F"/>
    <w:rsid w:val="BBEF1077"/>
    <w:rsid w:val="D7FF53F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nhideWhenUsed="0" w:uiPriority="39" w:semiHidden="0" w:name="toc 1"/>
    <w:lsdException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qFormat="1" w:unhideWhenUsed="0" w:uiPriority="0" w:semiHidden="0" w:name="annotation text"/>
    <w:lsdException w:unhideWhenUsed="0" w:uiPriority="0" w:semiHidden="0" w:name="header"/>
    <w:lsdException w:unhideWhenUsed="0"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nhideWhenUsed="0" w:uiPriority="0" w:semiHidden="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99"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pPr>
    <w:rPr>
      <w:rFonts w:ascii="Calibri" w:hAnsi="Calibri" w:eastAsia="宋体" w:cs="Calibri"/>
      <w:sz w:val="21"/>
      <w:szCs w:val="21"/>
      <w:lang w:val="en-US" w:eastAsia="zh-CN" w:bidi="ar-SA"/>
    </w:rPr>
  </w:style>
  <w:style w:type="paragraph" w:styleId="2">
    <w:name w:val="heading 1"/>
    <w:basedOn w:val="1"/>
    <w:next w:val="1"/>
    <w:qFormat/>
    <w:uiPriority w:val="0"/>
    <w:pPr>
      <w:keepNext/>
      <w:keepLines/>
      <w:spacing w:before="340" w:after="330" w:line="578" w:lineRule="auto"/>
      <w:outlineLvl w:val="0"/>
    </w:pPr>
    <w:rPr>
      <w:b/>
      <w:bCs/>
      <w:kern w:val="44"/>
      <w:sz w:val="44"/>
      <w:szCs w:val="44"/>
    </w:rPr>
  </w:style>
  <w:style w:type="paragraph" w:styleId="3">
    <w:name w:val="heading 2"/>
    <w:basedOn w:val="1"/>
    <w:next w:val="1"/>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unhideWhenUsed/>
    <w:qFormat/>
    <w:uiPriority w:val="0"/>
    <w:pPr>
      <w:keepNext/>
      <w:keepLines/>
      <w:spacing w:before="260" w:after="260" w:line="416" w:lineRule="auto"/>
      <w:outlineLvl w:val="2"/>
    </w:pPr>
    <w:rPr>
      <w:b/>
      <w:bCs/>
      <w:sz w:val="32"/>
      <w:szCs w:val="32"/>
    </w:rPr>
  </w:style>
  <w:style w:type="character" w:default="1" w:styleId="16">
    <w:name w:val="Default Paragraph Font"/>
    <w:semiHidden/>
    <w:unhideWhenUsed/>
    <w:uiPriority w:val="1"/>
  </w:style>
  <w:style w:type="table" w:default="1" w:styleId="14">
    <w:name w:val="Normal Table"/>
    <w:semiHidden/>
    <w:unhideWhenUsed/>
    <w:uiPriority w:val="99"/>
    <w:tblPr>
      <w:tblCellMar>
        <w:top w:w="0" w:type="dxa"/>
        <w:left w:w="108" w:type="dxa"/>
        <w:bottom w:w="0" w:type="dxa"/>
        <w:right w:w="108" w:type="dxa"/>
      </w:tblCellMar>
    </w:tblPr>
  </w:style>
  <w:style w:type="paragraph" w:styleId="5">
    <w:name w:val="annotation text"/>
    <w:basedOn w:val="1"/>
    <w:link w:val="24"/>
    <w:qFormat/>
    <w:uiPriority w:val="0"/>
    <w:pPr>
      <w:jc w:val="left"/>
    </w:pPr>
  </w:style>
  <w:style w:type="paragraph" w:styleId="6">
    <w:name w:val="toc 3"/>
    <w:basedOn w:val="1"/>
    <w:next w:val="1"/>
    <w:qFormat/>
    <w:uiPriority w:val="39"/>
    <w:pPr>
      <w:ind w:left="840" w:leftChars="400"/>
    </w:pPr>
  </w:style>
  <w:style w:type="paragraph" w:styleId="7">
    <w:name w:val="Date"/>
    <w:basedOn w:val="1"/>
    <w:next w:val="1"/>
    <w:link w:val="26"/>
    <w:uiPriority w:val="0"/>
    <w:pPr>
      <w:ind w:left="100" w:leftChars="2500"/>
    </w:pPr>
  </w:style>
  <w:style w:type="paragraph" w:styleId="8">
    <w:name w:val="Balloon Text"/>
    <w:basedOn w:val="1"/>
    <w:link w:val="20"/>
    <w:uiPriority w:val="0"/>
    <w:rPr>
      <w:sz w:val="18"/>
      <w:szCs w:val="18"/>
    </w:rPr>
  </w:style>
  <w:style w:type="paragraph" w:styleId="9">
    <w:name w:val="footer"/>
    <w:basedOn w:val="1"/>
    <w:uiPriority w:val="0"/>
    <w:pPr>
      <w:tabs>
        <w:tab w:val="center" w:pos="4153"/>
        <w:tab w:val="right" w:pos="8306"/>
      </w:tabs>
      <w:snapToGrid w:val="0"/>
      <w:jc w:val="left"/>
    </w:pPr>
    <w:rPr>
      <w:sz w:val="18"/>
      <w:szCs w:val="18"/>
    </w:rPr>
  </w:style>
  <w:style w:type="paragraph" w:styleId="10">
    <w:name w:val="header"/>
    <w:basedOn w:val="1"/>
    <w:link w:val="22"/>
    <w:uiPriority w:val="0"/>
    <w:pPr>
      <w:pBdr>
        <w:bottom w:val="single" w:color="auto" w:sz="6" w:space="1"/>
      </w:pBdr>
      <w:tabs>
        <w:tab w:val="center" w:pos="4153"/>
        <w:tab w:val="right" w:pos="8306"/>
      </w:tabs>
      <w:snapToGrid w:val="0"/>
      <w:jc w:val="center"/>
    </w:pPr>
    <w:rPr>
      <w:sz w:val="18"/>
      <w:szCs w:val="18"/>
    </w:rPr>
  </w:style>
  <w:style w:type="paragraph" w:styleId="11">
    <w:name w:val="toc 1"/>
    <w:basedOn w:val="1"/>
    <w:next w:val="1"/>
    <w:uiPriority w:val="39"/>
  </w:style>
  <w:style w:type="paragraph" w:styleId="12">
    <w:name w:val="toc 2"/>
    <w:basedOn w:val="1"/>
    <w:next w:val="1"/>
    <w:uiPriority w:val="39"/>
    <w:pPr>
      <w:ind w:left="420" w:leftChars="200"/>
    </w:pPr>
  </w:style>
  <w:style w:type="paragraph" w:styleId="13">
    <w:name w:val="annotation subject"/>
    <w:basedOn w:val="5"/>
    <w:next w:val="5"/>
    <w:link w:val="25"/>
    <w:uiPriority w:val="0"/>
    <w:rPr>
      <w:b/>
      <w:bCs/>
    </w:rPr>
  </w:style>
  <w:style w:type="table" w:styleId="15">
    <w:name w:val="Table Grid"/>
    <w:basedOn w:val="1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Hyperlink"/>
    <w:basedOn w:val="16"/>
    <w:unhideWhenUsed/>
    <w:uiPriority w:val="99"/>
    <w:rPr>
      <w:color w:val="0563C1" w:themeColor="hyperlink"/>
      <w:u w:val="single"/>
      <w14:textFill>
        <w14:solidFill>
          <w14:schemeClr w14:val="hlink"/>
        </w14:solidFill>
      </w14:textFill>
    </w:rPr>
  </w:style>
  <w:style w:type="character" w:styleId="18">
    <w:name w:val="annotation reference"/>
    <w:basedOn w:val="16"/>
    <w:qFormat/>
    <w:uiPriority w:val="0"/>
    <w:rPr>
      <w:sz w:val="21"/>
      <w:szCs w:val="21"/>
    </w:rPr>
  </w:style>
  <w:style w:type="table" w:customStyle="1" w:styleId="19">
    <w:name w:val="网格型2"/>
    <w:basedOn w:val="14"/>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0">
    <w:name w:val="批注框文本 字符"/>
    <w:basedOn w:val="16"/>
    <w:link w:val="8"/>
    <w:uiPriority w:val="0"/>
    <w:rPr>
      <w:rFonts w:ascii="Calibri" w:hAnsi="Calibri" w:cs="Calibri"/>
      <w:sz w:val="18"/>
      <w:szCs w:val="18"/>
    </w:rPr>
  </w:style>
  <w:style w:type="paragraph" w:customStyle="1" w:styleId="21">
    <w:name w:val="TOC 标题1"/>
    <w:basedOn w:val="2"/>
    <w:next w:val="1"/>
    <w:unhideWhenUsed/>
    <w:qFormat/>
    <w:uiPriority w:val="39"/>
    <w:pPr>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22">
    <w:name w:val="页眉 字符"/>
    <w:basedOn w:val="16"/>
    <w:link w:val="10"/>
    <w:uiPriority w:val="0"/>
    <w:rPr>
      <w:rFonts w:ascii="Calibri" w:hAnsi="Calibri" w:cs="Calibri"/>
      <w:sz w:val="18"/>
      <w:szCs w:val="18"/>
    </w:rPr>
  </w:style>
  <w:style w:type="paragraph" w:customStyle="1" w:styleId="23">
    <w:name w:val="修订1"/>
    <w:hidden/>
    <w:semiHidden/>
    <w:qFormat/>
    <w:uiPriority w:val="99"/>
    <w:rPr>
      <w:rFonts w:ascii="Calibri" w:hAnsi="Calibri" w:eastAsia="宋体" w:cs="Calibri"/>
      <w:sz w:val="21"/>
      <w:szCs w:val="21"/>
      <w:lang w:val="en-US" w:eastAsia="zh-CN" w:bidi="ar-SA"/>
    </w:rPr>
  </w:style>
  <w:style w:type="character" w:customStyle="1" w:styleId="24">
    <w:name w:val="批注文字 字符"/>
    <w:basedOn w:val="16"/>
    <w:link w:val="5"/>
    <w:qFormat/>
    <w:uiPriority w:val="0"/>
    <w:rPr>
      <w:rFonts w:ascii="Calibri" w:hAnsi="Calibri" w:cs="Calibri"/>
      <w:sz w:val="21"/>
      <w:szCs w:val="21"/>
    </w:rPr>
  </w:style>
  <w:style w:type="character" w:customStyle="1" w:styleId="25">
    <w:name w:val="批注主题 字符"/>
    <w:basedOn w:val="24"/>
    <w:link w:val="13"/>
    <w:qFormat/>
    <w:uiPriority w:val="0"/>
    <w:rPr>
      <w:rFonts w:ascii="Calibri" w:hAnsi="Calibri" w:cs="Calibri"/>
      <w:b/>
      <w:bCs/>
      <w:sz w:val="21"/>
      <w:szCs w:val="21"/>
    </w:rPr>
  </w:style>
  <w:style w:type="character" w:customStyle="1" w:styleId="26">
    <w:name w:val="日期 字符"/>
    <w:basedOn w:val="16"/>
    <w:link w:val="7"/>
    <w:uiPriority w:val="0"/>
    <w:rPr>
      <w:rFonts w:ascii="Calibri" w:hAnsi="Calibri" w:cs="Calibri"/>
      <w:sz w:val="21"/>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theme" Target="theme/theme1.xml"/><Relationship Id="rId44" Type="http://schemas.openxmlformats.org/officeDocument/2006/relationships/fontTable" Target="fontTable.xml"/><Relationship Id="rId43" Type="http://schemas.openxmlformats.org/officeDocument/2006/relationships/customXml" Target="../customXml/item2.xml"/><Relationship Id="rId42" Type="http://schemas.openxmlformats.org/officeDocument/2006/relationships/customXml" Target="../customXml/item1.xml"/><Relationship Id="rId41" Type="http://schemas.openxmlformats.org/officeDocument/2006/relationships/image" Target="media/image38.emf"/><Relationship Id="rId40" Type="http://schemas.openxmlformats.org/officeDocument/2006/relationships/image" Target="media/image37.jpeg"/><Relationship Id="rId4" Type="http://schemas.openxmlformats.org/officeDocument/2006/relationships/footer" Target="footer1.xml"/><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header" Target="header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7D3A1AA-4B01-4A01-9D4F-709333453E13}">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28</Pages>
  <Words>1340</Words>
  <Characters>7638</Characters>
  <Lines>63</Lines>
  <Paragraphs>17</Paragraphs>
  <TotalTime>6</TotalTime>
  <ScaleCrop>false</ScaleCrop>
  <LinksUpToDate>false</LinksUpToDate>
  <CharactersWithSpaces>8961</CharactersWithSpaces>
  <Application>WPS Office_11.1.0.9292_F1E327BC-269C-435d-A152-05C5408002CA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2020-06-01T08:44:00Z</dcterms:created>
  <dc:creator>zs-jcj</dc:creator>
  <cp:lastModifiedBy>蛋小卷 </cp:lastModifiedBy>
  <dcterms:modified xsi:type="dcterms:W3CDTF">2020-06-01T10:31:28Z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2052-11.1.0.9292</vt:lpwstr>
  </property>
</Properties>
</file>